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53"/>
        <w:gridCol w:w="1111"/>
        <w:gridCol w:w="1258"/>
        <w:gridCol w:w="3154"/>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364141" w:rsidP="0076522D">
            <w:r>
              <w:t>Politics are a Beach: Tools for Evaluating Primary Sources</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364141" w:rsidP="0076522D">
            <w:r>
              <w:t xml:space="preserve">Students apply a strategy to analyze a political cartoon.  After consulting additional resources, students write a news report informing readers about the context of the political cartoon. </w:t>
            </w:r>
          </w:p>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364141" w:rsidP="0076522D">
            <w:r>
              <w:t>Social Studies</w:t>
            </w:r>
          </w:p>
          <w:p w:rsidR="0076522D" w:rsidRDefault="0076522D" w:rsidP="0076522D"/>
        </w:tc>
      </w:tr>
      <w:tr w:rsidR="0076522D" w:rsidTr="00A07880">
        <w:tc>
          <w:tcPr>
            <w:tcW w:w="4788" w:type="dxa"/>
            <w:gridSpan w:val="2"/>
            <w:shd w:val="clear" w:color="auto" w:fill="auto"/>
          </w:tcPr>
          <w:p w:rsidR="00364141" w:rsidRDefault="00317796" w:rsidP="0076522D">
            <w:r>
              <w:t>*</w:t>
            </w:r>
            <w:r w:rsidR="0076522D">
              <w:t>Intended Audience/Grade Level:</w:t>
            </w:r>
          </w:p>
          <w:p w:rsidR="0076522D" w:rsidRDefault="00364141" w:rsidP="0076522D">
            <w:r>
              <w:t>8</w:t>
            </w:r>
            <w:r w:rsidRPr="00364141">
              <w:rPr>
                <w:vertAlign w:val="superscript"/>
              </w:rPr>
              <w:t>th</w:t>
            </w:r>
            <w:r>
              <w:t xml:space="preserve"> grade</w:t>
            </w:r>
            <w:r w:rsidR="0076522D">
              <w:t xml:space="preserve">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364141" w:rsidP="0076522D">
            <w:r>
              <w:t>Two 80 minute class periods</w:t>
            </w:r>
          </w:p>
          <w:p w:rsidR="0076522D" w:rsidRDefault="0076522D" w:rsidP="0076522D"/>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76522D" w:rsidRDefault="00364141">
            <w:r>
              <w:t>SS.8.A.1.2: use research and inquiry skills to analyze American History using primary and secondary sources.</w:t>
            </w:r>
          </w:p>
          <w:p w:rsidR="0076522D" w:rsidRDefault="00364141">
            <w:r>
              <w:t>CCSS.ELA-Literacy.W.8.2: Write informative/explanatory texts to examine a topic and convey ideas, concepts, and information through the selection, organization, and analysis of relevant content.</w:t>
            </w:r>
          </w:p>
          <w:p w:rsidR="0076522D" w:rsidRDefault="0076522D"/>
        </w:tc>
      </w:tr>
      <w:tr w:rsidR="0076522D" w:rsidTr="0076522D">
        <w:tc>
          <w:tcPr>
            <w:tcW w:w="9576" w:type="dxa"/>
            <w:gridSpan w:val="4"/>
            <w:shd w:val="clear" w:color="auto" w:fill="auto"/>
          </w:tcPr>
          <w:p w:rsidR="0076522D" w:rsidRDefault="00317796">
            <w:r>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364141" w:rsidRDefault="00364141"/>
          <w:p w:rsidR="00364141" w:rsidRDefault="00364141" w:rsidP="00364141">
            <w:r>
              <w:t>Newspaper Editorial Cartoon: “Great Spot for a Tan”</w:t>
            </w:r>
          </w:p>
          <w:p w:rsidR="0076522D" w:rsidRDefault="00364141" w:rsidP="00364141">
            <w:r>
              <w:t>http://ufdc.ufl.edu/UF00083441/00101</w:t>
            </w:r>
          </w:p>
          <w:p w:rsidR="0076522D" w:rsidRDefault="0076522D"/>
          <w:p w:rsidR="00527E27" w:rsidRDefault="00527E27">
            <w:r>
              <w:t>Other resources:</w:t>
            </w:r>
          </w:p>
          <w:p w:rsidR="004F3708" w:rsidRDefault="004F3708">
            <w:r>
              <w:t>Copies of articles and handouts</w:t>
            </w:r>
          </w:p>
          <w:p w:rsidR="00527E27" w:rsidRDefault="00527E27"/>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364141" w:rsidRDefault="00364141"/>
          <w:p w:rsidR="00364141" w:rsidRDefault="00364141">
            <w:r>
              <w:t>How do political cartoons reveal diverse perspectives?</w:t>
            </w:r>
          </w:p>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76522D" w:rsidRDefault="0076522D"/>
        </w:tc>
        <w:tc>
          <w:tcPr>
            <w:tcW w:w="4788" w:type="dxa"/>
            <w:gridSpan w:val="2"/>
            <w:shd w:val="clear" w:color="auto" w:fill="auto"/>
          </w:tcPr>
          <w:p w:rsidR="0076522D" w:rsidRDefault="00317796">
            <w:r>
              <w:lastRenderedPageBreak/>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364141" w:rsidP="00364141">
            <w:pPr>
              <w:pStyle w:val="ListParagraph"/>
              <w:numPr>
                <w:ilvl w:val="0"/>
                <w:numId w:val="3"/>
              </w:numPr>
            </w:pPr>
            <w:r>
              <w:t>The students will analyze a political cartoon by observing, reflecting, and questioning.</w:t>
            </w:r>
          </w:p>
          <w:p w:rsidR="00364141" w:rsidRDefault="00364141" w:rsidP="00364141">
            <w:pPr>
              <w:pStyle w:val="ListParagraph"/>
              <w:numPr>
                <w:ilvl w:val="0"/>
                <w:numId w:val="3"/>
              </w:numPr>
            </w:pPr>
            <w:r>
              <w:t>The students will read and analyze additional resources to answer self-generated questions.</w:t>
            </w:r>
          </w:p>
          <w:p w:rsidR="00364141" w:rsidRDefault="00364141" w:rsidP="00364141">
            <w:pPr>
              <w:pStyle w:val="ListParagraph"/>
              <w:numPr>
                <w:ilvl w:val="0"/>
                <w:numId w:val="3"/>
              </w:numPr>
            </w:pPr>
            <w:r>
              <w:t xml:space="preserve">The students will synthesize information from three sources into a </w:t>
            </w:r>
            <w:r>
              <w:lastRenderedPageBreak/>
              <w:t>written news report informing the readers of the context of the political cartoon.</w:t>
            </w:r>
          </w:p>
          <w:p w:rsidR="0076522D" w:rsidRDefault="0076522D"/>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F934BE" w:rsidRDefault="00F934BE"/>
          <w:p w:rsidR="00F934BE" w:rsidRDefault="00364141">
            <w:r>
              <w:t>Students will receive feedback after each phase of analyzing primary sources by sharing their responses with a peer.  After hearing additional peer responses, students can add to their original notes.</w:t>
            </w:r>
          </w:p>
          <w:p w:rsidR="00364141" w:rsidRDefault="00364141"/>
          <w:p w:rsidR="0076522D" w:rsidRDefault="00364141">
            <w:r>
              <w:t>Students will receive teacher feedback after analyzing additional resources.  The teacher will determine if applicable or assigned questions have been addressed sufficiently.  If they have not, the teacher will provide question stems or question ideas to help students gather pertinent evidence.</w:t>
            </w:r>
          </w:p>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364141" w:rsidRDefault="00364141">
            <w:r>
              <w:t xml:space="preserve">Students will be assessed through the informative writing piece at the culmination of the lesson.  Evaluation rubric will be provided.  </w:t>
            </w:r>
          </w:p>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76522D" w:rsidRDefault="00527E27" w:rsidP="0076522D">
            <w:r>
              <w:t xml:space="preserve">Students will complete a quick write on the question, “How does the public perceive politicians or political figures?”  During this activity, students will write a short response to the question pulling from background knowledge and/or content knowledge.  Questions and guesses are permitted; responses are generally not scored by the teacher, but if they are, they are scored for the students’ ability to transmit ideas to paper.  Students should have approximately 3-5 minutes to write their response.  After 3-5 minutes is up, students share their responses with a peer and then teacher solicits ideas from the whole class before moving on to direct instruction.  </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527E27" w:rsidRDefault="00527E27" w:rsidP="0076522D">
            <w:r>
              <w:t>The teacher will tell students that they will learn a strategy to analyze political cartoons in order to learn more a particular time period. First, students will view the political cartoon “Great Spot for a Tan” and write down any observations they notice.  Teacher will model and think aloud the first observation by saying, “I notice two men in the center of the political car</w:t>
            </w:r>
            <w:r w:rsidR="004319AE">
              <w:t xml:space="preserve">toon carrying towels and books. What do you </w:t>
            </w:r>
            <w:r w:rsidR="004319AE">
              <w:lastRenderedPageBreak/>
              <w:t>notice in this political cartoon?”</w:t>
            </w:r>
            <w:r>
              <w:t xml:space="preserve">  Some other questions to consider when writing down observations: what does the resource say? Where do your eyes go first? What powerful words and ideas are expressed?  What do you notice about the page the object is printed on?  What other details do you see?  Students should write responses down in the first column of the three column graphic organizer and then share their responses with a peer.  If students hear any observations from a peer they did not notate, they may write them under the observe column. </w:t>
            </w:r>
          </w:p>
          <w:p w:rsidR="00527E27" w:rsidRDefault="00527E27" w:rsidP="0076522D"/>
          <w:p w:rsidR="00527E27" w:rsidRDefault="00527E27" w:rsidP="0076522D">
            <w:r>
              <w:t>Next the student and teacher should move to the reflect column.  The teacher should model and think aloud reflections regarding the cartoon by stating some formative conclusions, “After my observations, I can begin to conclude that the author of the political cartoon is not happy about</w:t>
            </w:r>
            <w:r w:rsidR="004319AE">
              <w:t xml:space="preserve"> the governor’s behaviors. What can you begin to conclude when looking at the cartoon a second time?”  Students should begin to write down their reflections in the second column of the three column graphic organizer.  Some additional questions to consider: what do you think was happening when this was written? Why do you think this political cartoon was created?  What can you learn from examining this?  If someone created something like this today, how would it be different?  How would it be the same?  Students should share their reflections with a peer when done writing them down and add any notable reflections to their chart.</w:t>
            </w:r>
          </w:p>
          <w:p w:rsidR="004319AE" w:rsidRDefault="004319AE" w:rsidP="0076522D"/>
          <w:p w:rsidR="0076522D" w:rsidRDefault="004319AE" w:rsidP="0076522D">
            <w:r>
              <w:t xml:space="preserve">Last, the students will move to the questioning phase.  At this phase, the teacher models and thinks aloud any remaining questions about the political cartoon.  A model teacher question is: Who are the two figures in the political cartoon?  Students should write questions about what they would like to know more about and what is still unanswered in the political cartoon.  If students struggle developing their own questions, they should consider the question stems: who, what, when, where, why, and how.    Students should share questions with each other and add to their lists.  Each student should have at least three questions remaining about the political cartoon.  This is a formative teacher checkpoint.  If students do not have three questions, the teacher should prompt them to include more.  </w:t>
            </w:r>
          </w:p>
          <w:p w:rsidR="0076522D" w:rsidRDefault="0076522D" w:rsidP="0076522D"/>
        </w:tc>
      </w:tr>
      <w:tr w:rsidR="0076522D" w:rsidTr="0076522D">
        <w:tc>
          <w:tcPr>
            <w:tcW w:w="9576" w:type="dxa"/>
            <w:gridSpan w:val="4"/>
            <w:shd w:val="clear" w:color="auto" w:fill="auto"/>
          </w:tcPr>
          <w:p w:rsidR="0076522D" w:rsidRDefault="00317796" w:rsidP="0076522D">
            <w:r>
              <w:lastRenderedPageBreak/>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F934BE" w:rsidRDefault="00F934BE" w:rsidP="0076522D"/>
          <w:p w:rsidR="00F934BE" w:rsidRDefault="004319AE" w:rsidP="0076522D">
            <w:r>
              <w:t xml:space="preserve">During the next phase, the students will consult different sources that inform about some aspect of the political cartoon.  </w:t>
            </w:r>
            <w:r w:rsidR="000B5486">
              <w:t xml:space="preserve">Sources can be leveled according to text complexity and reading levels of students.  </w:t>
            </w:r>
          </w:p>
          <w:p w:rsidR="000B5486" w:rsidRDefault="000B5486" w:rsidP="0076522D"/>
          <w:p w:rsidR="000B5486" w:rsidRDefault="000B5486" w:rsidP="0076522D">
            <w:r>
              <w:t xml:space="preserve">High level readers: Ross Barnett Obituary </w:t>
            </w:r>
          </w:p>
          <w:p w:rsidR="000B5486" w:rsidRDefault="00466F94" w:rsidP="0076522D">
            <w:hyperlink r:id="rId9" w:history="1">
              <w:r w:rsidR="000B5486" w:rsidRPr="0014160B">
                <w:rPr>
                  <w:rStyle w:val="Hyperlink"/>
                </w:rPr>
                <w:t>http://www.nytimes.com/1987/11/07/obituaries/ross-barnett-segregationist-dies-governor-of-mississippi-in-1960-s.html</w:t>
              </w:r>
            </w:hyperlink>
          </w:p>
          <w:p w:rsidR="000B5486" w:rsidRDefault="000B5486" w:rsidP="000B5486">
            <w:r>
              <w:t>Medium level readers: St. Petersburg Sun Newspaper article about the Convention</w:t>
            </w:r>
          </w:p>
          <w:p w:rsidR="000B5486" w:rsidRDefault="00466F94" w:rsidP="000B5486">
            <w:hyperlink r:id="rId10" w:history="1">
              <w:r w:rsidR="000B5486" w:rsidRPr="0014160B">
                <w:rPr>
                  <w:rStyle w:val="Hyperlink"/>
                </w:rPr>
                <w:t>http://news.google.com/newspapers?nid=888&amp;dat=19630728&amp;id=ChUmAAAAIBAJ&amp;sjid=d1IDAAAAIBAJ&amp;pg=3412,4025493</w:t>
              </w:r>
            </w:hyperlink>
          </w:p>
          <w:p w:rsidR="000B5486" w:rsidRDefault="000B5486" w:rsidP="000B5486">
            <w:r>
              <w:t>Low level readers: Encyclopedia article on George Wallace</w:t>
            </w:r>
          </w:p>
          <w:p w:rsidR="000B5486" w:rsidRPr="000B5486" w:rsidRDefault="000B5486" w:rsidP="000B5486">
            <w:r w:rsidRPr="000B5486">
              <w:t>http://archive.school.eb.com/all/comptons/article-9314059?query=governor%20wallace&amp;ct=null</w:t>
            </w:r>
          </w:p>
          <w:p w:rsidR="000B5486" w:rsidRDefault="000B5486" w:rsidP="000B5486">
            <w:r>
              <w:t>ELL students: images of protestors outside of Miami Governor’s Convention</w:t>
            </w:r>
          </w:p>
          <w:p w:rsidR="000B5486" w:rsidRDefault="00466F94" w:rsidP="000B5486">
            <w:hyperlink r:id="rId11" w:anchor="28" w:history="1">
              <w:r w:rsidR="000B5486" w:rsidRPr="0014160B">
                <w:rPr>
                  <w:rStyle w:val="Hyperlink"/>
                </w:rPr>
                <w:t>http://photos.denverpost.com/2013/06/11/photos-50-years-since-desegregation-at-the-university-of-alabama/#28</w:t>
              </w:r>
            </w:hyperlink>
          </w:p>
          <w:p w:rsidR="000B5486" w:rsidRDefault="000B5486" w:rsidP="000B5486"/>
          <w:p w:rsidR="0076522D" w:rsidRDefault="000B5486" w:rsidP="0076522D">
            <w:r>
              <w:t xml:space="preserve">The procedure is as follow: assign different individuals different articles.  As students read through their assigned reading, ask them to underline any lines, quotes, words, or phrases from the article that answers their questions from the previous phase or addresses questions that deal with who, what, </w:t>
            </w:r>
            <w:r>
              <w:lastRenderedPageBreak/>
              <w:t xml:space="preserve">when, where, why, and how.  After students read their article and underline key information, require them to transfer any facts from the article that addresses their questions or the who, what, when, where, why, and how questions in the first column of the “Give One/Get One” graphic organizer.  Once students have recorded at least FIVE facts from the article, ask students to get out of their seats and find an individual with a different article (it may help to print the articles and resources onto different colors of paper to make it easier to see which students have read different articles).  When students find another student with a different article, they tell each other the article they read and exchange one fact from each article.  Each student writes down their new fact, thanks the other, and finds a new partner with a different article.  The process repeats itself until each student has at least one fact from each resource.  Students may continue to get information from other students until time is up.  </w:t>
            </w:r>
          </w:p>
          <w:p w:rsidR="0076522D" w:rsidRDefault="0076522D" w:rsidP="0076522D"/>
        </w:tc>
      </w:tr>
      <w:tr w:rsidR="0076522D" w:rsidTr="0076522D">
        <w:tc>
          <w:tcPr>
            <w:tcW w:w="9576" w:type="dxa"/>
            <w:gridSpan w:val="4"/>
            <w:shd w:val="clear" w:color="auto" w:fill="auto"/>
          </w:tcPr>
          <w:p w:rsidR="0076522D" w:rsidRDefault="00317796" w:rsidP="0076522D">
            <w:r>
              <w:lastRenderedPageBreak/>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76522D" w:rsidRDefault="000B5486" w:rsidP="0076522D">
            <w:r>
              <w:t>Now that students have learned more about the historical context of the political cartoon, they will synthesize their learning into a writing activity. Using the RAFT (role, audience, format, and topic) pre-writing strategy, students will assume the role of a news report addressing the citizens of Miami.  The student will write a news report informing the citizen</w:t>
            </w:r>
            <w:r w:rsidR="00B7322E">
              <w:t xml:space="preserve">s of Miami what the conference is about, when the conference took place, where the conference took place, who the governors are, and why their attendance might be controversial. If students struggle writing a news report, show a brief clip of a new report and ask students to notice certain traits of the news report (i.e. timing, word choice, and subject matter).  Once students have written their news reports, invite students to share their news reports with each other – reading with fluency and expression.  </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3D0B50" w:rsidRDefault="003D0B50" w:rsidP="0076522D">
            <w:r>
              <w:t>Use as part of a larger Civil Rights movement exercise.  Continue to analyze political cartoons.</w:t>
            </w:r>
          </w:p>
          <w:p w:rsidR="00F934BE" w:rsidRDefault="00F934BE" w:rsidP="0076522D"/>
          <w:p w:rsidR="0076522D" w:rsidRDefault="0076522D" w:rsidP="0076522D"/>
          <w:p w:rsidR="0076522D" w:rsidRDefault="0076522D" w:rsidP="0076522D"/>
        </w:tc>
      </w:tr>
      <w:tr w:rsidR="00D6639B" w:rsidTr="00317796">
        <w:tc>
          <w:tcPr>
            <w:tcW w:w="3192" w:type="dxa"/>
            <w:shd w:val="clear" w:color="auto" w:fill="auto"/>
          </w:tcPr>
          <w:p w:rsidR="00D6639B" w:rsidRDefault="00D6639B" w:rsidP="00D6639B">
            <w:r>
              <w:t>Reading strategies (describe strategies in detail):</w:t>
            </w:r>
          </w:p>
          <w:p w:rsidR="00F934BE" w:rsidRDefault="00F934BE" w:rsidP="00D6639B"/>
          <w:p w:rsidR="00F934BE" w:rsidRDefault="007351D4" w:rsidP="00D6639B">
            <w:r>
              <w:t>Observe/Reflect/Question</w:t>
            </w:r>
          </w:p>
          <w:p w:rsidR="00F934BE" w:rsidRDefault="00F934BE" w:rsidP="00D6639B"/>
          <w:p w:rsidR="00F934BE" w:rsidRDefault="00F934BE" w:rsidP="00D6639B"/>
          <w:p w:rsidR="00F934BE" w:rsidRDefault="00F934BE" w:rsidP="00D6639B"/>
          <w:p w:rsidR="00F934BE" w:rsidRDefault="00F934BE" w:rsidP="00D6639B"/>
          <w:p w:rsidR="00F934BE" w:rsidRDefault="00F934BE" w:rsidP="00D6639B"/>
        </w:tc>
        <w:tc>
          <w:tcPr>
            <w:tcW w:w="3192" w:type="dxa"/>
            <w:gridSpan w:val="2"/>
            <w:shd w:val="clear" w:color="auto" w:fill="auto"/>
          </w:tcPr>
          <w:p w:rsidR="00D6639B" w:rsidRDefault="00D6639B" w:rsidP="0076522D">
            <w:r>
              <w:t>Writing strategies (describe strategies in detail):</w:t>
            </w:r>
          </w:p>
          <w:p w:rsidR="007351D4" w:rsidRDefault="007351D4" w:rsidP="0076522D"/>
          <w:p w:rsidR="007351D4" w:rsidRDefault="007351D4" w:rsidP="0076522D">
            <w:r>
              <w:t>Quick Write</w:t>
            </w:r>
          </w:p>
          <w:p w:rsidR="007351D4" w:rsidRDefault="007351D4" w:rsidP="0076522D">
            <w:r>
              <w:t>RAFT</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7351D4" w:rsidP="0076522D">
            <w:r>
              <w:t>Give One/Get One</w:t>
            </w:r>
          </w:p>
          <w:p w:rsidR="00D6639B" w:rsidRDefault="00D6639B" w:rsidP="0076522D"/>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364141">
        <w:trPr>
          <w:trHeight w:val="1322"/>
        </w:trPr>
        <w:tc>
          <w:tcPr>
            <w:tcW w:w="9576" w:type="dxa"/>
            <w:gridSpan w:val="4"/>
            <w:shd w:val="clear" w:color="auto" w:fill="auto"/>
          </w:tcPr>
          <w:p w:rsidR="00F934BE" w:rsidRDefault="00F934BE" w:rsidP="004F3708"/>
          <w:p w:rsidR="004F3708" w:rsidRDefault="004F3708" w:rsidP="004F3708">
            <w:r>
              <w:t>Leveled reading tasks</w:t>
            </w:r>
          </w:p>
          <w:p w:rsidR="004F3708" w:rsidRDefault="004F3708" w:rsidP="004F3708">
            <w:r>
              <w:t>Peer assistance</w:t>
            </w:r>
          </w:p>
          <w:p w:rsidR="004F3708" w:rsidRDefault="004F3708" w:rsidP="004F3708">
            <w:r>
              <w:t>Graphic organizers</w:t>
            </w: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lastRenderedPageBreak/>
              <w:t>Re-Teaching:</w:t>
            </w:r>
          </w:p>
          <w:p w:rsidR="004F3708" w:rsidRDefault="004F3708" w:rsidP="0076522D">
            <w:pPr>
              <w:jc w:val="center"/>
            </w:pPr>
            <w:r>
              <w:t>Repeat observe/reflect/question process on another political cartoon related to the same time period</w:t>
            </w:r>
          </w:p>
          <w:p w:rsidR="00BC39F4" w:rsidRDefault="00BC39F4" w:rsidP="0076522D">
            <w:pPr>
              <w:jc w:val="center"/>
            </w:pPr>
          </w:p>
          <w:p w:rsidR="00BC39F4" w:rsidRDefault="00BC39F4" w:rsidP="0076522D">
            <w:pPr>
              <w:jc w:val="center"/>
            </w:pPr>
          </w:p>
        </w:tc>
        <w:tc>
          <w:tcPr>
            <w:tcW w:w="4788" w:type="dxa"/>
            <w:gridSpan w:val="2"/>
            <w:shd w:val="clear" w:color="auto" w:fill="auto"/>
          </w:tcPr>
          <w:p w:rsidR="00BC39F4" w:rsidRDefault="00BC39F4" w:rsidP="0076522D">
            <w:pPr>
              <w:jc w:val="center"/>
            </w:pPr>
            <w:r>
              <w:t>Enrichment:</w:t>
            </w:r>
          </w:p>
          <w:p w:rsidR="00BC39F4" w:rsidRDefault="004F3708" w:rsidP="0076522D">
            <w:pPr>
              <w:jc w:val="center"/>
            </w:pPr>
            <w:r>
              <w:t>Assign a short research paper in which students research the issues addressed by the Governor’s Convention in more detail</w:t>
            </w:r>
          </w:p>
          <w:p w:rsidR="00BC39F4" w:rsidRDefault="00BC39F4" w:rsidP="0076522D">
            <w:pPr>
              <w:jc w:val="center"/>
            </w:pPr>
          </w:p>
          <w:p w:rsidR="00BC39F4" w:rsidRDefault="00BC39F4" w:rsidP="0076522D">
            <w:pPr>
              <w:jc w:val="center"/>
            </w:pPr>
          </w:p>
          <w:p w:rsidR="00BC39F4" w:rsidRDefault="00BC39F4" w:rsidP="0076522D">
            <w:pPr>
              <w:jc w:val="center"/>
            </w:pPr>
          </w:p>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A07880" w:rsidRDefault="004F3708" w:rsidP="0076522D">
            <w:pPr>
              <w:jc w:val="center"/>
            </w:pPr>
            <w:r>
              <w:t>Printed articles</w:t>
            </w:r>
          </w:p>
          <w:p w:rsidR="004F3708" w:rsidRDefault="004F3708" w:rsidP="0076522D">
            <w:pPr>
              <w:jc w:val="center"/>
            </w:pPr>
            <w:r>
              <w:t>Printed graphic organizer</w:t>
            </w:r>
          </w:p>
          <w:p w:rsidR="004F3708" w:rsidRDefault="004F3708" w:rsidP="0076522D">
            <w:pPr>
              <w:jc w:val="center"/>
            </w:pPr>
            <w:r>
              <w:t>Printed cartoon</w:t>
            </w: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4F3708" w:rsidRDefault="004F3708" w:rsidP="0076522D">
            <w:pPr>
              <w:jc w:val="center"/>
            </w:pPr>
          </w:p>
          <w:p w:rsidR="004F3708" w:rsidRDefault="004F3708" w:rsidP="0076522D">
            <w:pPr>
              <w:jc w:val="center"/>
            </w:pPr>
            <w:r>
              <w:t>Document camera</w:t>
            </w:r>
          </w:p>
          <w:p w:rsidR="004F3708" w:rsidRDefault="004F3708" w:rsidP="0076522D">
            <w:pPr>
              <w:jc w:val="center"/>
            </w:pPr>
            <w:r>
              <w:t>PowerPoint</w:t>
            </w:r>
          </w:p>
        </w:tc>
      </w:tr>
      <w:tr w:rsidR="00C2397D" w:rsidTr="00364141">
        <w:trPr>
          <w:trHeight w:val="3233"/>
        </w:trPr>
        <w:tc>
          <w:tcPr>
            <w:tcW w:w="9576"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4F3708"/>
          <w:p w:rsidR="00C2397D" w:rsidRDefault="00C2397D" w:rsidP="00736595">
            <w:pPr>
              <w:jc w:val="center"/>
            </w:pP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364141">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A07880"/>
          <w:p w:rsidR="00897FC7" w:rsidRDefault="00897FC7" w:rsidP="00A07880"/>
          <w:p w:rsidR="00897FC7" w:rsidRDefault="00897FC7" w:rsidP="0076522D">
            <w:pPr>
              <w:jc w:val="center"/>
            </w:pPr>
          </w:p>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lastRenderedPageBreak/>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466F94" w:rsidRPr="000D41F1" w:rsidRDefault="00466F94" w:rsidP="00466F94">
            <w:pPr>
              <w:jc w:val="center"/>
              <w:rPr>
                <w:b/>
              </w:rPr>
            </w:pPr>
            <w:r w:rsidRPr="000D41F1">
              <w:rPr>
                <w:b/>
              </w:rPr>
              <w:t>Give One/Get One</w:t>
            </w:r>
          </w:p>
          <w:tbl>
            <w:tblPr>
              <w:tblStyle w:val="TableGrid"/>
              <w:tblW w:w="0" w:type="auto"/>
              <w:tblLook w:val="04A0" w:firstRow="1" w:lastRow="0" w:firstColumn="1" w:lastColumn="0" w:noHBand="0" w:noVBand="1"/>
            </w:tblPr>
            <w:tblGrid>
              <w:gridCol w:w="2371"/>
              <w:gridCol w:w="2304"/>
              <w:gridCol w:w="2371"/>
              <w:gridCol w:w="2304"/>
            </w:tblGrid>
            <w:tr w:rsidR="00466F94" w:rsidRPr="000D41F1" w:rsidTr="00C20071">
              <w:tc>
                <w:tcPr>
                  <w:tcW w:w="7308" w:type="dxa"/>
                  <w:gridSpan w:val="2"/>
                  <w:tcBorders>
                    <w:bottom w:val="single" w:sz="4" w:space="0" w:color="auto"/>
                  </w:tcBorders>
                  <w:shd w:val="pct25" w:color="auto" w:fill="auto"/>
                </w:tcPr>
                <w:p w:rsidR="00466F94" w:rsidRPr="000D41F1" w:rsidRDefault="00466F94" w:rsidP="00C20071">
                  <w:pPr>
                    <w:jc w:val="center"/>
                    <w:rPr>
                      <w:b/>
                    </w:rPr>
                  </w:pPr>
                  <w:r w:rsidRPr="000D41F1">
                    <w:rPr>
                      <w:b/>
                    </w:rPr>
                    <w:t>Give One</w:t>
                  </w:r>
                </w:p>
              </w:tc>
              <w:tc>
                <w:tcPr>
                  <w:tcW w:w="7308" w:type="dxa"/>
                  <w:gridSpan w:val="2"/>
                  <w:tcBorders>
                    <w:bottom w:val="single" w:sz="4" w:space="0" w:color="auto"/>
                  </w:tcBorders>
                  <w:shd w:val="pct25" w:color="auto" w:fill="auto"/>
                </w:tcPr>
                <w:p w:rsidR="00466F94" w:rsidRPr="000D41F1" w:rsidRDefault="00466F94" w:rsidP="00C20071">
                  <w:pPr>
                    <w:jc w:val="center"/>
                    <w:rPr>
                      <w:b/>
                    </w:rPr>
                  </w:pPr>
                  <w:r w:rsidRPr="000D41F1">
                    <w:rPr>
                      <w:b/>
                    </w:rPr>
                    <w:t>Get One</w:t>
                  </w:r>
                </w:p>
              </w:tc>
            </w:tr>
            <w:tr w:rsidR="00466F94" w:rsidTr="00C20071">
              <w:tc>
                <w:tcPr>
                  <w:tcW w:w="3654" w:type="dxa"/>
                  <w:shd w:val="pct15" w:color="auto" w:fill="auto"/>
                </w:tcPr>
                <w:p w:rsidR="00466F94" w:rsidRPr="000D41F1" w:rsidRDefault="00466F94" w:rsidP="00C20071">
                  <w:pPr>
                    <w:jc w:val="center"/>
                    <w:rPr>
                      <w:i/>
                    </w:rPr>
                  </w:pPr>
                  <w:r w:rsidRPr="000D41F1">
                    <w:rPr>
                      <w:i/>
                    </w:rPr>
                    <w:t>Question</w:t>
                  </w:r>
                </w:p>
              </w:tc>
              <w:tc>
                <w:tcPr>
                  <w:tcW w:w="3654" w:type="dxa"/>
                  <w:shd w:val="pct15" w:color="auto" w:fill="auto"/>
                </w:tcPr>
                <w:p w:rsidR="00466F94" w:rsidRPr="000D41F1" w:rsidRDefault="00466F94" w:rsidP="00C20071">
                  <w:pPr>
                    <w:jc w:val="center"/>
                    <w:rPr>
                      <w:i/>
                    </w:rPr>
                  </w:pPr>
                  <w:r w:rsidRPr="000D41F1">
                    <w:rPr>
                      <w:i/>
                    </w:rPr>
                    <w:t>Answer</w:t>
                  </w:r>
                </w:p>
              </w:tc>
              <w:tc>
                <w:tcPr>
                  <w:tcW w:w="3654" w:type="dxa"/>
                  <w:shd w:val="pct15" w:color="auto" w:fill="auto"/>
                </w:tcPr>
                <w:p w:rsidR="00466F94" w:rsidRPr="000D41F1" w:rsidRDefault="00466F94" w:rsidP="00C20071">
                  <w:pPr>
                    <w:jc w:val="center"/>
                    <w:rPr>
                      <w:i/>
                    </w:rPr>
                  </w:pPr>
                  <w:r w:rsidRPr="000D41F1">
                    <w:rPr>
                      <w:i/>
                    </w:rPr>
                    <w:t>Question</w:t>
                  </w:r>
                </w:p>
              </w:tc>
              <w:tc>
                <w:tcPr>
                  <w:tcW w:w="3654" w:type="dxa"/>
                  <w:shd w:val="pct15" w:color="auto" w:fill="auto"/>
                </w:tcPr>
                <w:p w:rsidR="00466F94" w:rsidRPr="000D41F1" w:rsidRDefault="00466F94" w:rsidP="00C20071">
                  <w:pPr>
                    <w:jc w:val="center"/>
                    <w:rPr>
                      <w:i/>
                    </w:rPr>
                  </w:pPr>
                  <w:r w:rsidRPr="000D41F1">
                    <w:rPr>
                      <w:i/>
                    </w:rPr>
                    <w:t>Answer</w:t>
                  </w:r>
                </w:p>
              </w:tc>
            </w:tr>
            <w:tr w:rsidR="00466F94" w:rsidTr="00C20071">
              <w:tc>
                <w:tcPr>
                  <w:tcW w:w="3654" w:type="dxa"/>
                </w:tcPr>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r>
            <w:tr w:rsidR="00466F94" w:rsidTr="00C20071">
              <w:tc>
                <w:tcPr>
                  <w:tcW w:w="3654" w:type="dxa"/>
                </w:tcPr>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r>
            <w:tr w:rsidR="00466F94" w:rsidTr="00C20071">
              <w:tc>
                <w:tcPr>
                  <w:tcW w:w="3654" w:type="dxa"/>
                </w:tcPr>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r>
            <w:tr w:rsidR="00466F94" w:rsidTr="00C20071">
              <w:tc>
                <w:tcPr>
                  <w:tcW w:w="3654" w:type="dxa"/>
                </w:tcPr>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r>
            <w:tr w:rsidR="00466F94" w:rsidTr="00C20071">
              <w:tc>
                <w:tcPr>
                  <w:tcW w:w="3654" w:type="dxa"/>
                </w:tcPr>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r>
            <w:tr w:rsidR="00466F94" w:rsidTr="00C20071">
              <w:tc>
                <w:tcPr>
                  <w:tcW w:w="3654" w:type="dxa"/>
                </w:tcPr>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c>
                <w:tcPr>
                  <w:tcW w:w="3654" w:type="dxa"/>
                </w:tcPr>
                <w:p w:rsidR="00466F94" w:rsidRDefault="00466F94" w:rsidP="00C20071">
                  <w:pPr>
                    <w:jc w:val="center"/>
                  </w:pPr>
                </w:p>
              </w:tc>
            </w:tr>
          </w:tbl>
          <w:p w:rsidR="00466F94" w:rsidRPr="000D41F1" w:rsidRDefault="00466F94" w:rsidP="00466F94"/>
          <w:p w:rsidR="00527DA1" w:rsidRDefault="00527DA1" w:rsidP="0076522D">
            <w:pPr>
              <w:jc w:val="center"/>
            </w:pPr>
            <w:bookmarkStart w:id="0" w:name="_GoBack"/>
            <w:bookmarkEnd w:id="0"/>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86" w:rsidRDefault="000B5486" w:rsidP="004B7629">
      <w:pPr>
        <w:spacing w:after="0" w:line="240" w:lineRule="auto"/>
      </w:pPr>
      <w:r>
        <w:separator/>
      </w:r>
    </w:p>
  </w:endnote>
  <w:endnote w:type="continuationSeparator" w:id="0">
    <w:p w:rsidR="000B5486" w:rsidRDefault="000B5486"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86" w:rsidRPr="004B7629" w:rsidRDefault="000B5486">
    <w:pPr>
      <w:pStyle w:val="Footer"/>
      <w:rPr>
        <w:b/>
        <w:sz w:val="24"/>
        <w:szCs w:val="24"/>
      </w:rPr>
    </w:pPr>
    <w:r w:rsidRPr="004B7629">
      <w:rPr>
        <w:b/>
        <w:sz w:val="24"/>
        <w:szCs w:val="24"/>
      </w:rPr>
      <w:t>*denotes a required field</w:t>
    </w:r>
  </w:p>
  <w:p w:rsidR="000B5486" w:rsidRDefault="000B5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86" w:rsidRDefault="000B5486" w:rsidP="004B7629">
      <w:pPr>
        <w:spacing w:after="0" w:line="240" w:lineRule="auto"/>
      </w:pPr>
      <w:r>
        <w:separator/>
      </w:r>
    </w:p>
  </w:footnote>
  <w:footnote w:type="continuationSeparator" w:id="0">
    <w:p w:rsidR="000B5486" w:rsidRDefault="000B5486"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F4242"/>
    <w:multiLevelType w:val="hybridMultilevel"/>
    <w:tmpl w:val="59E2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9250E"/>
    <w:rsid w:val="000B5486"/>
    <w:rsid w:val="000D23B8"/>
    <w:rsid w:val="00145E52"/>
    <w:rsid w:val="002D39BB"/>
    <w:rsid w:val="00317796"/>
    <w:rsid w:val="00364141"/>
    <w:rsid w:val="00371B87"/>
    <w:rsid w:val="003D0B50"/>
    <w:rsid w:val="004319AE"/>
    <w:rsid w:val="00466F94"/>
    <w:rsid w:val="004B7629"/>
    <w:rsid w:val="004D3AF1"/>
    <w:rsid w:val="004F3708"/>
    <w:rsid w:val="00507D20"/>
    <w:rsid w:val="00527DA1"/>
    <w:rsid w:val="00527E27"/>
    <w:rsid w:val="006A16C5"/>
    <w:rsid w:val="007351D4"/>
    <w:rsid w:val="00736595"/>
    <w:rsid w:val="0076522D"/>
    <w:rsid w:val="00856653"/>
    <w:rsid w:val="00897FC7"/>
    <w:rsid w:val="008E3514"/>
    <w:rsid w:val="0090519B"/>
    <w:rsid w:val="009C0018"/>
    <w:rsid w:val="00A07880"/>
    <w:rsid w:val="00AB0A36"/>
    <w:rsid w:val="00B7322E"/>
    <w:rsid w:val="00B918A8"/>
    <w:rsid w:val="00BC326D"/>
    <w:rsid w:val="00BC39F4"/>
    <w:rsid w:val="00C17901"/>
    <w:rsid w:val="00C2397D"/>
    <w:rsid w:val="00CD1AEA"/>
    <w:rsid w:val="00D6639B"/>
    <w:rsid w:val="00E72D94"/>
    <w:rsid w:val="00E75C11"/>
    <w:rsid w:val="00EC39C3"/>
    <w:rsid w:val="00F20503"/>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0B5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0B5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otos.denverpost.com/2013/06/11/photos-50-years-since-desegregation-at-the-university-of-alabama/" TargetMode="External"/><Relationship Id="rId5" Type="http://schemas.openxmlformats.org/officeDocument/2006/relationships/settings" Target="settings.xml"/><Relationship Id="rId10" Type="http://schemas.openxmlformats.org/officeDocument/2006/relationships/hyperlink" Target="http://news.google.com/newspapers?nid=888&amp;dat=19630728&amp;id=ChUmAAAAIBAJ&amp;sjid=d1IDAAAAIBAJ&amp;pg=3412,4025493" TargetMode="External"/><Relationship Id="rId4" Type="http://schemas.microsoft.com/office/2007/relationships/stylesWithEffects" Target="stylesWithEffects.xml"/><Relationship Id="rId9" Type="http://schemas.openxmlformats.org/officeDocument/2006/relationships/hyperlink" Target="http://www.nytimes.com/1987/11/07/obituaries/ross-barnett-segregationist-dies-governor-of-mississippi-in-1960-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C7A5-FFEA-47B8-A373-7AE398A9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Windows User</cp:lastModifiedBy>
  <cp:revision>7</cp:revision>
  <dcterms:created xsi:type="dcterms:W3CDTF">2013-08-19T19:13:00Z</dcterms:created>
  <dcterms:modified xsi:type="dcterms:W3CDTF">2013-10-30T12:11:00Z</dcterms:modified>
</cp:coreProperties>
</file>