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457B5">
        <w:rPr>
          <w:rFonts w:ascii="Arial" w:eastAsia="Times New Roman" w:hAnsi="Arial" w:cs="Arial"/>
          <w:b/>
          <w:bCs/>
          <w:color w:val="000000"/>
          <w:sz w:val="36"/>
          <w:szCs w:val="36"/>
        </w:rPr>
        <w:t>STATUTS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Projet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dernière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révision</w:t>
      </w:r>
      <w:bookmarkStart w:id="0" w:name="_GoBack"/>
      <w:bookmarkEnd w:id="0"/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: 10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octobre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2006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Les STATUTS de dLOC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doivent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encore 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examinés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d'un point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vue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juridique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mais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disponibles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sous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peu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sous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forme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définitive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I. NOM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L'organisation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nommée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Bibliothèque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Numérique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Cara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bes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(dLOC)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représentera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l'instance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coopérative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créée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pour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développer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collection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d'archives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numériques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artéfacts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documents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bibliothèque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II. OBJECTIF ET PHILOSOPHIE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Bibliothèque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Numérique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Cara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bes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été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créée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17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juillet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2004 par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planification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lors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réunion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qui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s'est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tenue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San Juan (Porto Rico).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L'organisation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souhaite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construire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bibliothèque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numérique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coopérative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avec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partenaires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Cara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bes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de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région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Cara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bes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pour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offrir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aux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utilisateurs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l'accès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aux documents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culturels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historiques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recherche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détenus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dans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archives,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bibliothèques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des collections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privées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dLOC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composée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collections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permettant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comprendre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similarités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différences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entre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Histoires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cultures,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langues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systèmes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gouvernement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différents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types de collections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pourront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suivants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liste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non exhaustive)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journaux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archives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dirigeants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gouvernements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Cara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bes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des documents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officiels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documents 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données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numériques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écosystèmes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documents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recherche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scientifique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cartes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historiques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contemporaines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histoires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orales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populaires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récits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voyage, de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littérature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de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poésie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l'expression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musicale 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artéfacts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partenaires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projet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peuvent</w:t>
      </w:r>
      <w:proofErr w:type="spellEnd"/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: 1)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soit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apporter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contenu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numérique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un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entrep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données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centralisé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2)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soit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mettre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leurs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collections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numériques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la disposition de dLOC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conformément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l'OAI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(Initiative pour des archives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ouvertes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III. MISSION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Les divers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partenaires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dLOC se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mettront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 service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communauté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internationale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d'érudits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d'étudiants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de simples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citoyens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collaborant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pour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permettre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l'accès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électronique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avancé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des documents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culturels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historiques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recherche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dans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espace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commun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Web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doté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interface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multilingue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1" w:name="membership"/>
      <w:bookmarkEnd w:id="1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IV. ADHÉSION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Membres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L'adhésion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dLOC </w:t>
      </w:r>
      <w:proofErr w:type="spellStart"/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est</w:t>
      </w:r>
      <w:proofErr w:type="spellEnd"/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réservée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aux institutions 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ouverte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aux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bibliothèques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archives,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musées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centres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recherche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associations,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éditeurs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fournisseurs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qui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satisfont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aux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critères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d'éligibilité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Chaque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institution 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représentée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unique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nommé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Représentant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institutionnel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Suppléant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remplacera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Représentant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institutionnel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cas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absence.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ratifieront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l'instance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dirigeante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interim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la structure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organisationnelle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élaborée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planification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Éligibilité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L'éligibilité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institutions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reposent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principes</w:t>
      </w:r>
      <w:proofErr w:type="spellEnd"/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suivants</w:t>
      </w:r>
      <w:proofErr w:type="spellEnd"/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457B5" w:rsidRPr="005457B5" w:rsidRDefault="005457B5" w:rsidP="00545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volonté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contribuer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aux collections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rendre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librement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disponibles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pour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projet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disponibilité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collections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appropriées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avec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contenu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relatif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aux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Cara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bes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volonté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se conformer à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normes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communes.</w:t>
      </w:r>
    </w:p>
    <w:p w:rsidR="005457B5" w:rsidRPr="005457B5" w:rsidRDefault="005457B5" w:rsidP="00545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volonté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désigner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représentant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pour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gérer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la participation locale.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inactifs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qui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n'auront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contribué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collection dLOC pendant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période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5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considérés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comme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inactifs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examinera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annuellement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statut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lors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assemblées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générales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avertira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statut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inactif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inactifs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peuvent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réactivés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demande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vote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majoritaire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lors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assemblées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générales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annuelles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V. RÉUNIONS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a.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Assemblées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générales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des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membres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L'assemblée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générale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dLOC se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tiendra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fois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an, à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date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en un lieu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proches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ceux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Conférence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annuelle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l'ACURIL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(Association of Caribbean University,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Reasearch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and Institutional Libraries).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b</w:t>
      </w:r>
      <w:proofErr w:type="gramEnd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Réunions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du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Comité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exécutif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réunira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fois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an, à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date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en un lieu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proches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ceux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Conférence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annuelle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l'ACURIL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c.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Réunions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de la Commission consultative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La Commission consultative se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réunira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fois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an, à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date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en un lieu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proches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ceux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Conférence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annuelle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l'Association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études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caribéennes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d.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Réunions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spéciales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réunions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spéciales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et/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ou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peuvent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organisées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la direction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e. Quorum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 quorum correspond à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majorité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absolue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participant à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l'Assemblée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annuelle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f. Participation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réunions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ouvertes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aux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l'organisation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g. Notification des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réunions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réunions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annoncées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aux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et/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ou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aux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parties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associées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moins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deux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mois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avant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la date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prévue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liste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diffusion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appropriée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dLOC.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VI. GOUVERNANCE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La structure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gouvernance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composée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de la Commission consultative,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directeur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sous-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gram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Le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exécutif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l'instance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dirigeante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 dLOC.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composé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neuf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choisis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parmi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Représentants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institutionnels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par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l'ensemble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durée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leurs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fonctions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échelonnée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2 ans.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majorité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constituera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quorum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Instance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dirigeante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sera chargé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l'élaboration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règles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de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planification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initiatives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collecte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fonds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supervisera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travail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directeur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nommera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sous-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qui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relèveront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directeur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sélectionnera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la Commission consultative.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Administrateurs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administrateurs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président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, le vice-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président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secrétaire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administrateurs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élus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iii.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Pr="005457B5">
        <w:rPr>
          <w:rFonts w:ascii="Arial Unicode MS" w:eastAsia="Times New Roman" w:hAnsi="Arial Unicode MS" w:cs="Arial Unicode MS"/>
          <w:b/>
          <w:bCs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le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responsabilités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administrateurs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président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457B5" w:rsidRPr="005457B5" w:rsidRDefault="005457B5" w:rsidP="00545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présidera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assemblées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générales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457B5" w:rsidRPr="005457B5" w:rsidRDefault="005457B5" w:rsidP="00545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élaborera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l'ordre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jour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assemblées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générales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457B5" w:rsidRPr="005457B5" w:rsidRDefault="005457B5" w:rsidP="00545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sera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droit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la Commission consultative.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Le vice-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président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remplacera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président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en son absence.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autres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ches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consisteront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à :</w:t>
      </w:r>
      <w:proofErr w:type="gramEnd"/>
    </w:p>
    <w:p w:rsidR="005457B5" w:rsidRPr="005457B5" w:rsidRDefault="005457B5" w:rsidP="00545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servir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liaison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aavec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la Commission consultative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457B5" w:rsidRPr="005457B5" w:rsidRDefault="005457B5" w:rsidP="00545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aider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président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représentant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celui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-ci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demande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lors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réunions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secrétaire</w:t>
      </w:r>
      <w:proofErr w:type="spellEnd"/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457B5" w:rsidRPr="005457B5" w:rsidRDefault="005457B5" w:rsidP="005457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enregistrera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diffusera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minutes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l'Assemblée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générales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de la Commission consultative et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457B5" w:rsidRPr="005457B5" w:rsidRDefault="005457B5" w:rsidP="005457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gérera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correspondance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fonction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besoins</w:t>
      </w:r>
      <w:proofErr w:type="spellEnd"/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457B5" w:rsidRPr="005457B5" w:rsidRDefault="005457B5" w:rsidP="005457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tiendra</w:t>
      </w:r>
      <w:proofErr w:type="spellEnd"/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jour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liste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iv. </w:t>
      </w:r>
      <w:proofErr w:type="spellStart"/>
      <w:proofErr w:type="gram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élections</w:t>
      </w:r>
      <w:proofErr w:type="spellEnd"/>
      <w:proofErr w:type="gram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et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durée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fonctions</w:t>
      </w:r>
      <w:proofErr w:type="spellEnd"/>
    </w:p>
    <w:p w:rsidR="005457B5" w:rsidRPr="005457B5" w:rsidRDefault="005457B5" w:rsidP="005457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élections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dérouleront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bulletin secret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lors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l'Assemblée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générale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représentants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institutionnels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actifs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éligibles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Vacances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Tout poste vacant à la suite d'un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décès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démission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révocation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disqualification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pour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toute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autre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raison, 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pourvu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Suppléant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institutionnel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nouveau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Représentant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institutionnel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désigné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par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l'institution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concernée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vi.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Révocation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Tout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Représentant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institutionnel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peut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révoqué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tout moment par le vote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affirmatif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majorité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votants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alors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en poste.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b. Commission consultative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La Commission consultative 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composée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sept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désignés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la Commission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compétents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dans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disciplines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académiques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pertinentes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programme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développement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d'enseignement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et/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ou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questions techniques. La Commission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guidera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directeur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en examinant les propositions de collections, en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désignant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collections à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inclure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en examinant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normes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élaborées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les sous-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L'expertise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professionnelle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la Commission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reflètera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problèmes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d'actualité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rencontrés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par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l'organisation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durée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fonctions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s'échelonnera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termes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2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à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l'exception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premier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terme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à la fin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duquel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trois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ou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quatre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la Commission consultative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invités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rester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dans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la Commission pendant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troisième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année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c.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Directeur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exécutif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directeur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recruté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par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l'institution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conseil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pour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développer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coordonner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activités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Bibliothèque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Numérique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Cara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bes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conformément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aux instructions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directeur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457B5" w:rsidRPr="005457B5" w:rsidRDefault="005457B5" w:rsidP="005457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coordonnera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activités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chefs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projet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trouvant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dans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institutions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participantes</w:t>
      </w:r>
      <w:proofErr w:type="spellEnd"/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457B5" w:rsidRPr="005457B5" w:rsidRDefault="005457B5" w:rsidP="005457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aura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expérience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gestion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de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fiscalité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bibliothèques</w:t>
      </w:r>
      <w:proofErr w:type="spellEnd"/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457B5" w:rsidRPr="005457B5" w:rsidRDefault="005457B5" w:rsidP="005457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la liaison avec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l'avocat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conseil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pour clarifier 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résoudre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problèmes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jurisprudence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457B5" w:rsidRPr="005457B5" w:rsidRDefault="005457B5" w:rsidP="005457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droit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de la Commission consultative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457B5" w:rsidRPr="005457B5" w:rsidRDefault="005457B5" w:rsidP="005457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la promotion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activités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dLOC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457B5" w:rsidRPr="005457B5" w:rsidRDefault="005457B5" w:rsidP="005457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relèvera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sujet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activités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l'organisation</w:t>
      </w:r>
      <w:proofErr w:type="spellEnd"/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457B5" w:rsidRPr="005457B5" w:rsidRDefault="005457B5" w:rsidP="005457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recherchera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activement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soutenabilité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biais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souscription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subventions 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d'initiatives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collecte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fonds</w:t>
      </w:r>
      <w:proofErr w:type="spellEnd"/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457B5" w:rsidRPr="005457B5" w:rsidRDefault="005457B5" w:rsidP="005457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trouvera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dans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institutions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tes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l'organisation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VII. SOUS-COMITÉS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>Les sous-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choisis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parmi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Toutes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recommandations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minutes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réunions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sous-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spécifiques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transmises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directeur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aux fins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d'approbation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d'action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Pour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mener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bien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son travail,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Bibliothèque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Numérique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Cara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bes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peut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disposer de sous-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supplémentaires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qui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chargés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responsabilités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ou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ches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lastRenderedPageBreak/>
        <w:t>spécifiques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sous-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peuvent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suggérés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par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l'ensemble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l'organisation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par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directeur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ou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la Commission consultative.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a.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Comité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des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normes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techniques </w:t>
      </w:r>
      <w:proofErr w:type="gramStart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et</w:t>
      </w:r>
      <w:proofErr w:type="gramEnd"/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de la formation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normes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techniques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la formation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définira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normes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numérisation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catalogage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définition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métadonnées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du format, et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déploiement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programme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d'enseignement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développement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programme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d'enseignement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développement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planifiera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examinera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priorités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initiatives futures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l'organisation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VIII. STATUS, GOUVERNANCE ET AVOCAT CONSEIL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Statuts</w:t>
      </w:r>
      <w:proofErr w:type="spellEnd"/>
    </w:p>
    <w:p w:rsidR="005457B5" w:rsidRPr="005457B5" w:rsidRDefault="005457B5" w:rsidP="005457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amendements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statuts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peuvent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proposés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directeur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ou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Les propositions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soumises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directeur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examinées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Toutes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propositions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soumises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présentées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aux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peuvent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comporter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recommandations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ou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directeur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amendements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examinés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lors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l'Assemblée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annuelle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texte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toute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proposition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d'amendement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envoyé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aux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moins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30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jours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avant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l'Assemblée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cours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laquelle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la proposition 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débatue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iii.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statuts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peuvent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amendés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par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majorité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absolue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votants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Procédure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parlementaire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Tous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sujets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procédure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lors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toute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réunion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ou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régis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règlement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intérieur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Robert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dernière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édition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règlement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intérieur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peut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suspendu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vote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deux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tiers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représentants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votants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présents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Avocat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conseil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avocat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conseil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mis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volontairement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la disposition de dLOC par les institutions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représentées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457B5">
        <w:rPr>
          <w:rFonts w:ascii="Arial" w:eastAsia="Times New Roman" w:hAnsi="Arial" w:cs="Arial"/>
          <w:b/>
          <w:bCs/>
          <w:color w:val="000000"/>
          <w:sz w:val="27"/>
          <w:szCs w:val="27"/>
        </w:rPr>
        <w:t>IX. FINANCES ET REGISTRES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a. Contributions </w:t>
      </w:r>
      <w:proofErr w:type="gram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redevances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Chaque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devra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verser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contribution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annuelle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conforme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structure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redevances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une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planification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déterminées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. La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mise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en 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uvre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contributions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redevances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sera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déterminée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par un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amendement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statuts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Exercice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fiscal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L'exercice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fiscal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commencera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1er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octobre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chaque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année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terminera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 30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septembre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l'année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calendaire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suivante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c. Finances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dLOC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fonctionnera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avec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fonds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>us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différentes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sources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financement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subventions, les contributions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et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apports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institutions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pour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l'entretien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l'organisation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Droits</w:t>
      </w:r>
      <w:proofErr w:type="spellEnd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d'inscription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Le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pourra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créer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droits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couvrant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frais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réunions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annuelles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e.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Registres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Tous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registres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cours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Assemblées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générales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membres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réunions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Comité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et de la Commission consultative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seront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conservés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 bureau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directeur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f. Disposition des </w:t>
      </w:r>
      <w:proofErr w:type="spellStart"/>
      <w:r w:rsidRPr="005457B5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actifs</w:t>
      </w:r>
      <w:proofErr w:type="spellEnd"/>
    </w:p>
    <w:p w:rsidR="005457B5" w:rsidRPr="005457B5" w:rsidRDefault="005457B5" w:rsidP="0054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Au </w:t>
      </w:r>
      <w:proofErr w:type="spellStart"/>
      <w:proofErr w:type="gram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cas</w:t>
      </w:r>
      <w:proofErr w:type="spellEnd"/>
      <w:proofErr w:type="gram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 w:rsidRPr="005457B5">
        <w:rPr>
          <w:rFonts w:ascii="Arial Unicode MS" w:eastAsia="Times New Roman" w:hAnsi="Arial Unicode MS" w:cs="Arial Unicode MS"/>
          <w:color w:val="000000"/>
          <w:sz w:val="24"/>
          <w:szCs w:val="24"/>
        </w:rPr>
        <w:t>�</w:t>
      </w:r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dLOC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serait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dissoute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tous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les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fonds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restants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en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trésorerie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seraient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reversés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à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l'institution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directeur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exécutif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aux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seules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fins de la conservation et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l'entretien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registres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5457B5">
        <w:rPr>
          <w:rFonts w:ascii="Arial" w:eastAsia="Times New Roman" w:hAnsi="Arial" w:cs="Arial"/>
          <w:color w:val="000000"/>
          <w:sz w:val="24"/>
          <w:szCs w:val="24"/>
        </w:rPr>
        <w:t>l'organisation</w:t>
      </w:r>
      <w:proofErr w:type="spellEnd"/>
      <w:r w:rsidRPr="005457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D2E32" w:rsidRDefault="005D2E32"/>
    <w:sectPr w:rsidR="005D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28E"/>
    <w:multiLevelType w:val="multilevel"/>
    <w:tmpl w:val="6B8C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17292"/>
    <w:multiLevelType w:val="multilevel"/>
    <w:tmpl w:val="47B6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D18C7"/>
    <w:multiLevelType w:val="multilevel"/>
    <w:tmpl w:val="9FCC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D72B9"/>
    <w:multiLevelType w:val="multilevel"/>
    <w:tmpl w:val="C4D8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272E9"/>
    <w:multiLevelType w:val="multilevel"/>
    <w:tmpl w:val="50C8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862E1"/>
    <w:multiLevelType w:val="multilevel"/>
    <w:tmpl w:val="3514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A00E5"/>
    <w:multiLevelType w:val="multilevel"/>
    <w:tmpl w:val="05BE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B5"/>
    <w:rsid w:val="005457B5"/>
    <w:rsid w:val="005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5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457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7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57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457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talic">
    <w:name w:val="italic"/>
    <w:basedOn w:val="DefaultParagraphFont"/>
    <w:rsid w:val="005457B5"/>
  </w:style>
  <w:style w:type="paragraph" w:styleId="NormalWeb">
    <w:name w:val="Normal (Web)"/>
    <w:basedOn w:val="Normal"/>
    <w:uiPriority w:val="99"/>
    <w:semiHidden/>
    <w:unhideWhenUsed/>
    <w:rsid w:val="0054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57B5"/>
  </w:style>
  <w:style w:type="character" w:customStyle="1" w:styleId="bold">
    <w:name w:val="bold"/>
    <w:basedOn w:val="DefaultParagraphFont"/>
    <w:rsid w:val="00545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5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457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7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57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457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talic">
    <w:name w:val="italic"/>
    <w:basedOn w:val="DefaultParagraphFont"/>
    <w:rsid w:val="005457B5"/>
  </w:style>
  <w:style w:type="paragraph" w:styleId="NormalWeb">
    <w:name w:val="Normal (Web)"/>
    <w:basedOn w:val="Normal"/>
    <w:uiPriority w:val="99"/>
    <w:semiHidden/>
    <w:unhideWhenUsed/>
    <w:rsid w:val="0054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57B5"/>
  </w:style>
  <w:style w:type="character" w:customStyle="1" w:styleId="bold">
    <w:name w:val="bold"/>
    <w:basedOn w:val="DefaultParagraphFont"/>
    <w:rsid w:val="0054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1791</Words>
  <Characters>10213</Characters>
  <Application>Microsoft Office Word</Application>
  <DocSecurity>0</DocSecurity>
  <Lines>85</Lines>
  <Paragraphs>23</Paragraphs>
  <ScaleCrop>false</ScaleCrop>
  <Company>UF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1</cp:revision>
  <dcterms:created xsi:type="dcterms:W3CDTF">2012-07-28T15:44:00Z</dcterms:created>
  <dcterms:modified xsi:type="dcterms:W3CDTF">2012-07-28T15:48:00Z</dcterms:modified>
</cp:coreProperties>
</file>