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55" w:rsidRDefault="00807B55" w:rsidP="00807B55">
      <w:pPr>
        <w:spacing w:line="240" w:lineRule="auto"/>
        <w:rPr>
          <w:rFonts w:ascii="Times New Roman" w:hAnsi="Times New Roman"/>
          <w:sz w:val="20"/>
          <w:szCs w:val="20"/>
        </w:rPr>
      </w:pPr>
      <w:r w:rsidRPr="00A177F9">
        <w:rPr>
          <w:rFonts w:ascii="Times New Roman" w:hAnsi="Times New Roman"/>
          <w:b/>
          <w:sz w:val="20"/>
          <w:szCs w:val="20"/>
        </w:rPr>
        <w:t>Title</w:t>
      </w:r>
      <w:r>
        <w:rPr>
          <w:rFonts w:ascii="Times New Roman" w:hAnsi="Times New Roman"/>
          <w:sz w:val="20"/>
          <w:szCs w:val="20"/>
        </w:rPr>
        <w:t>:</w:t>
      </w:r>
      <w:r w:rsidRPr="00DE14B2">
        <w:t xml:space="preserve"> </w:t>
      </w:r>
      <w:r w:rsidRPr="00DE14B2">
        <w:rPr>
          <w:rFonts w:ascii="Times New Roman" w:hAnsi="Times New Roman"/>
          <w:sz w:val="20"/>
          <w:szCs w:val="20"/>
        </w:rPr>
        <w:t>Visualization, Acquisition, Modeling and Analysis of Multi-Dimensional Data (VAMA</w:t>
      </w:r>
      <w:r>
        <w:rPr>
          <w:rFonts w:ascii="Times New Roman" w:hAnsi="Times New Roman"/>
          <w:sz w:val="20"/>
          <w:szCs w:val="20"/>
        </w:rPr>
        <w:t xml:space="preserve"> hub</w:t>
      </w:r>
      <w:r w:rsidRPr="00DE14B2">
        <w:rPr>
          <w:rFonts w:ascii="Times New Roman" w:hAnsi="Times New Roman"/>
          <w:sz w:val="20"/>
          <w:szCs w:val="20"/>
        </w:rPr>
        <w:t>)</w:t>
      </w:r>
    </w:p>
    <w:p w:rsidR="00807B55" w:rsidRDefault="00807B55" w:rsidP="00807B55">
      <w:pPr>
        <w:spacing w:line="240" w:lineRule="auto"/>
      </w:pPr>
      <w:r w:rsidRPr="00A177F9">
        <w:rPr>
          <w:rFonts w:ascii="Times New Roman" w:hAnsi="Times New Roman"/>
          <w:b/>
          <w:sz w:val="20"/>
          <w:szCs w:val="20"/>
        </w:rPr>
        <w:t>Proposer</w:t>
      </w:r>
      <w:r>
        <w:rPr>
          <w:rFonts w:ascii="Times New Roman" w:hAnsi="Times New Roman"/>
          <w:sz w:val="20"/>
          <w:szCs w:val="20"/>
        </w:rPr>
        <w:t>:</w:t>
      </w:r>
      <w:r w:rsidRPr="00DE14B2">
        <w:t xml:space="preserve"> </w:t>
      </w:r>
    </w:p>
    <w:p w:rsidR="00807B55" w:rsidRDefault="00807B55" w:rsidP="00807B55">
      <w:pPr>
        <w:spacing w:line="240" w:lineRule="auto"/>
        <w:rPr>
          <w:rFonts w:ascii="Times New Roman" w:hAnsi="Times New Roman"/>
          <w:sz w:val="20"/>
          <w:szCs w:val="20"/>
        </w:rPr>
      </w:pPr>
      <w:r w:rsidRPr="00DE14B2">
        <w:rPr>
          <w:rFonts w:ascii="Times New Roman" w:hAnsi="Times New Roman"/>
          <w:sz w:val="20"/>
          <w:szCs w:val="20"/>
        </w:rPr>
        <w:t xml:space="preserve">Library: Joe Aufmuth, MS; Michael Howell, MS; Melody Royster, MLS; Donna Wrublewski, PhD, Evan Wack, </w:t>
      </w:r>
      <w:r>
        <w:rPr>
          <w:rFonts w:ascii="Times New Roman" w:hAnsi="Times New Roman"/>
          <w:sz w:val="20"/>
          <w:szCs w:val="20"/>
        </w:rPr>
        <w:t>Library IT.</w:t>
      </w:r>
      <w:r w:rsidRPr="00DE14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E14B2">
        <w:rPr>
          <w:rFonts w:ascii="Times New Roman" w:hAnsi="Times New Roman"/>
          <w:sz w:val="20"/>
          <w:szCs w:val="20"/>
        </w:rPr>
        <w:t xml:space="preserve">Contact address: Government Documents Department, Marston Science Library, POB 117011, </w:t>
      </w:r>
      <w:hyperlink r:id="rId7" w:history="1">
        <w:r w:rsidRPr="00286EAD">
          <w:rPr>
            <w:rStyle w:val="Hyperlink"/>
            <w:rFonts w:ascii="Times New Roman" w:hAnsi="Times New Roman"/>
            <w:sz w:val="20"/>
            <w:szCs w:val="20"/>
          </w:rPr>
          <w:t>mapper@uflib.ufl.edu</w:t>
        </w:r>
      </w:hyperlink>
      <w:r>
        <w:rPr>
          <w:rFonts w:ascii="Times New Roman" w:hAnsi="Times New Roman"/>
          <w:sz w:val="20"/>
          <w:szCs w:val="20"/>
        </w:rPr>
        <w:t>, 352-273-0367.</w:t>
      </w:r>
    </w:p>
    <w:p w:rsidR="00807B55" w:rsidRDefault="00807B55" w:rsidP="00807B55">
      <w:pPr>
        <w:spacing w:line="240" w:lineRule="auto"/>
        <w:rPr>
          <w:rFonts w:ascii="Times New Roman" w:hAnsi="Times New Roman"/>
          <w:sz w:val="20"/>
          <w:szCs w:val="20"/>
        </w:rPr>
      </w:pPr>
      <w:r w:rsidRPr="003A6F03">
        <w:rPr>
          <w:rFonts w:ascii="Times New Roman" w:hAnsi="Times New Roman"/>
          <w:sz w:val="20"/>
          <w:szCs w:val="20"/>
        </w:rPr>
        <w:t xml:space="preserve">CISE (Computer and Information Sciences and Engineering): Jorg Peters, PhD, </w:t>
      </w:r>
      <w:hyperlink r:id="rId8" w:history="1">
        <w:r w:rsidRPr="00286EAD">
          <w:rPr>
            <w:rStyle w:val="Hyperlink"/>
            <w:rFonts w:ascii="Times New Roman" w:hAnsi="Times New Roman"/>
            <w:sz w:val="20"/>
            <w:szCs w:val="20"/>
          </w:rPr>
          <w:t>jorg@cise.ufl.edu</w:t>
        </w:r>
      </w:hyperlink>
      <w:r w:rsidRPr="003A6F03">
        <w:rPr>
          <w:rFonts w:ascii="Times New Roman" w:hAnsi="Times New Roman"/>
          <w:sz w:val="20"/>
          <w:szCs w:val="20"/>
        </w:rPr>
        <w:t xml:space="preserve">, CSE Building Room 328, 352-392-1200 or 352-450-3443; Dan </w:t>
      </w:r>
      <w:proofErr w:type="spellStart"/>
      <w:r w:rsidRPr="003A6F03">
        <w:rPr>
          <w:rFonts w:ascii="Times New Roman" w:hAnsi="Times New Roman"/>
          <w:sz w:val="20"/>
          <w:szCs w:val="20"/>
        </w:rPr>
        <w:t>Eicher</w:t>
      </w:r>
      <w:proofErr w:type="spellEnd"/>
      <w:r w:rsidRPr="003A6F03">
        <w:rPr>
          <w:rFonts w:ascii="Times New Roman" w:hAnsi="Times New Roman"/>
          <w:sz w:val="20"/>
          <w:szCs w:val="20"/>
        </w:rPr>
        <w:t xml:space="preserve">, Director CSE Computer Lab, </w:t>
      </w:r>
      <w:hyperlink r:id="rId9" w:history="1">
        <w:r w:rsidRPr="00286EAD">
          <w:rPr>
            <w:rStyle w:val="Hyperlink"/>
            <w:rFonts w:ascii="Times New Roman" w:hAnsi="Times New Roman"/>
            <w:sz w:val="20"/>
            <w:szCs w:val="20"/>
          </w:rPr>
          <w:t>dhe@cise.ufl.edu</w:t>
        </w:r>
      </w:hyperlink>
      <w:r w:rsidRPr="003A6F03">
        <w:rPr>
          <w:rFonts w:ascii="Times New Roman" w:hAnsi="Times New Roman"/>
          <w:sz w:val="20"/>
          <w:szCs w:val="20"/>
        </w:rPr>
        <w:t>.</w:t>
      </w:r>
    </w:p>
    <w:p w:rsidR="000605C3" w:rsidRPr="000605C3" w:rsidRDefault="000605C3" w:rsidP="00807B5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05C3">
        <w:rPr>
          <w:rFonts w:ascii="Times New Roman" w:hAnsi="Times New Roman" w:cs="Times New Roman"/>
          <w:b/>
          <w:sz w:val="20"/>
          <w:szCs w:val="20"/>
        </w:rPr>
        <w:t>BUDGET</w:t>
      </w:r>
    </w:p>
    <w:p w:rsidR="005D66E9" w:rsidRDefault="006A64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Through thorough review of the items requested and actual costs,</w:t>
      </w:r>
      <w:r>
        <w:rPr>
          <w:rFonts w:ascii="Times New Roman" w:hAnsi="Times New Roman" w:cs="Times New Roman"/>
          <w:sz w:val="20"/>
          <w:szCs w:val="20"/>
        </w:rPr>
        <w:t xml:space="preserve"> the </w:t>
      </w:r>
      <w:r w:rsidR="00EE2BF3">
        <w:rPr>
          <w:rFonts w:ascii="Times New Roman" w:hAnsi="Times New Roman" w:cs="Times New Roman"/>
          <w:sz w:val="20"/>
          <w:szCs w:val="20"/>
        </w:rPr>
        <w:t>expected cost</w:t>
      </w:r>
      <w:r w:rsidR="00552A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establish </w:t>
      </w:r>
      <w:r w:rsidR="005D66E9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collaborative </w:t>
      </w:r>
      <w:r w:rsidR="005D66E9" w:rsidRPr="00A56DC0">
        <w:rPr>
          <w:rFonts w:ascii="Times New Roman" w:hAnsi="Times New Roman"/>
          <w:sz w:val="20"/>
          <w:szCs w:val="20"/>
        </w:rPr>
        <w:t xml:space="preserve">Visualization, Acquisition, Modeling and Analysis of Multi-Dimensional Data </w:t>
      </w:r>
      <w:r w:rsidR="005D66E9">
        <w:rPr>
          <w:rFonts w:ascii="Times New Roman" w:hAnsi="Times New Roman"/>
          <w:sz w:val="20"/>
          <w:szCs w:val="20"/>
        </w:rPr>
        <w:t xml:space="preserve">(VAMA) </w:t>
      </w:r>
      <w:r>
        <w:rPr>
          <w:rFonts w:ascii="Times New Roman" w:hAnsi="Times New Roman" w:cs="Times New Roman"/>
          <w:sz w:val="20"/>
          <w:szCs w:val="20"/>
        </w:rPr>
        <w:t xml:space="preserve">hub is </w:t>
      </w:r>
      <w:r w:rsidR="00552A40" w:rsidRPr="00552A40">
        <w:rPr>
          <w:rFonts w:ascii="Times New Roman" w:hAnsi="Times New Roman" w:cs="Times New Roman"/>
          <w:sz w:val="20"/>
          <w:szCs w:val="20"/>
        </w:rPr>
        <w:t>$320,581.57</w:t>
      </w:r>
      <w:r w:rsidR="00A11DF3">
        <w:rPr>
          <w:rFonts w:ascii="Times New Roman" w:hAnsi="Times New Roman" w:cs="Times New Roman"/>
          <w:sz w:val="20"/>
          <w:szCs w:val="20"/>
        </w:rPr>
        <w:t xml:space="preserve">.  </w:t>
      </w:r>
      <w:r w:rsidR="00EE2BF3">
        <w:rPr>
          <w:rFonts w:ascii="Times New Roman" w:hAnsi="Times New Roman" w:cs="Times New Roman"/>
          <w:sz w:val="20"/>
          <w:szCs w:val="20"/>
        </w:rPr>
        <w:t xml:space="preserve">The request is based upon the cost of start-up equipment and software.  </w:t>
      </w:r>
      <w:r w:rsidR="00A11DF3">
        <w:rPr>
          <w:rFonts w:ascii="Times New Roman" w:hAnsi="Times New Roman" w:cs="Times New Roman"/>
          <w:sz w:val="20"/>
          <w:szCs w:val="20"/>
        </w:rPr>
        <w:t>T</w:t>
      </w:r>
      <w:r w:rsidR="00A11DF3">
        <w:rPr>
          <w:rFonts w:ascii="Times New Roman" w:hAnsi="Times New Roman"/>
          <w:sz w:val="20"/>
          <w:szCs w:val="20"/>
        </w:rPr>
        <w:t xml:space="preserve">he originally proposed </w:t>
      </w:r>
      <w:r w:rsidR="00A11DF3">
        <w:rPr>
          <w:rFonts w:ascii="Times New Roman" w:hAnsi="Times New Roman"/>
          <w:b/>
          <w:bCs/>
          <w:i/>
          <w:iCs/>
          <w:sz w:val="20"/>
          <w:szCs w:val="20"/>
        </w:rPr>
        <w:t>cost has been reduced by ca. $150,000</w:t>
      </w:r>
      <w:r w:rsidR="00A11DF3" w:rsidRPr="004C66A2">
        <w:rPr>
          <w:rFonts w:ascii="Times New Roman" w:hAnsi="Times New Roman"/>
          <w:bCs/>
          <w:iCs/>
          <w:sz w:val="20"/>
          <w:szCs w:val="20"/>
        </w:rPr>
        <w:t>.</w:t>
      </w:r>
    </w:p>
    <w:p w:rsidR="00A11DF3" w:rsidRPr="009234DC" w:rsidRDefault="00A11DF3" w:rsidP="00A11DF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stated in the full proposal, the VAMA project now has </w:t>
      </w:r>
      <w:r w:rsidR="00EE2BF3" w:rsidRPr="00EE2BF3">
        <w:rPr>
          <w:rFonts w:ascii="Times New Roman" w:hAnsi="Times New Roman" w:cs="Times New Roman"/>
          <w:i/>
          <w:sz w:val="20"/>
          <w:szCs w:val="20"/>
        </w:rPr>
        <w:t xml:space="preserve">in-kind </w:t>
      </w:r>
      <w:r w:rsidRPr="00EE2BF3">
        <w:rPr>
          <w:rFonts w:ascii="Times New Roman" w:hAnsi="Times New Roman" w:cs="Times New Roman"/>
          <w:i/>
          <w:sz w:val="20"/>
          <w:szCs w:val="20"/>
        </w:rPr>
        <w:t>c</w:t>
      </w:r>
      <w:r w:rsidRPr="00EE2BF3">
        <w:rPr>
          <w:rFonts w:ascii="Times New Roman" w:hAnsi="Times New Roman"/>
          <w:i/>
          <w:sz w:val="20"/>
          <w:szCs w:val="20"/>
        </w:rPr>
        <w:t>ontributions</w:t>
      </w:r>
      <w:r>
        <w:rPr>
          <w:rFonts w:ascii="Times New Roman" w:hAnsi="Times New Roman"/>
          <w:sz w:val="20"/>
          <w:szCs w:val="20"/>
        </w:rPr>
        <w:t xml:space="preserve"> for the</w:t>
      </w:r>
      <w:r w:rsidRPr="00A11DF3">
        <w:rPr>
          <w:rFonts w:ascii="Times New Roman" w:hAnsi="Times New Roman"/>
          <w:sz w:val="20"/>
          <w:szCs w:val="20"/>
        </w:rPr>
        <w:t xml:space="preserve"> MSL107 </w:t>
      </w:r>
      <w:r>
        <w:rPr>
          <w:rFonts w:ascii="Times New Roman" w:hAnsi="Times New Roman"/>
          <w:sz w:val="20"/>
          <w:szCs w:val="20"/>
        </w:rPr>
        <w:t>s</w:t>
      </w:r>
      <w:r w:rsidRPr="00A11DF3">
        <w:rPr>
          <w:rFonts w:ascii="Times New Roman" w:hAnsi="Times New Roman"/>
          <w:sz w:val="20"/>
          <w:szCs w:val="20"/>
        </w:rPr>
        <w:t>tart-</w:t>
      </w:r>
      <w:r>
        <w:rPr>
          <w:rFonts w:ascii="Times New Roman" w:hAnsi="Times New Roman"/>
          <w:sz w:val="20"/>
          <w:szCs w:val="20"/>
        </w:rPr>
        <w:t>u</w:t>
      </w:r>
      <w:r w:rsidRPr="00A11DF3">
        <w:rPr>
          <w:rFonts w:ascii="Times New Roman" w:hAnsi="Times New Roman"/>
          <w:sz w:val="20"/>
          <w:szCs w:val="20"/>
        </w:rPr>
        <w:t>p</w:t>
      </w:r>
      <w:r w:rsidRPr="00DC3A2E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In order to develop MSL</w:t>
      </w:r>
      <w:r w:rsidRPr="009234DC">
        <w:rPr>
          <w:rFonts w:ascii="Times New Roman" w:hAnsi="Times New Roman"/>
          <w:sz w:val="20"/>
          <w:szCs w:val="20"/>
        </w:rPr>
        <w:t xml:space="preserve">107 into an ADA compliant </w:t>
      </w:r>
      <w:r>
        <w:rPr>
          <w:rFonts w:ascii="Times New Roman" w:hAnsi="Times New Roman"/>
          <w:sz w:val="20"/>
          <w:szCs w:val="20"/>
        </w:rPr>
        <w:t xml:space="preserve">conference, instruction, and research </w:t>
      </w:r>
      <w:r w:rsidRPr="009234DC">
        <w:rPr>
          <w:rFonts w:ascii="Times New Roman" w:hAnsi="Times New Roman"/>
          <w:sz w:val="20"/>
          <w:szCs w:val="20"/>
        </w:rPr>
        <w:t xml:space="preserve">facility the Library will commit $40,000 in funds to provide raised </w:t>
      </w:r>
      <w:r>
        <w:rPr>
          <w:rFonts w:ascii="Times New Roman" w:hAnsi="Times New Roman"/>
          <w:sz w:val="20"/>
          <w:szCs w:val="20"/>
        </w:rPr>
        <w:t xml:space="preserve">ADA accessible </w:t>
      </w:r>
      <w:r w:rsidRPr="009234DC">
        <w:rPr>
          <w:rFonts w:ascii="Times New Roman" w:hAnsi="Times New Roman"/>
          <w:sz w:val="20"/>
          <w:szCs w:val="20"/>
        </w:rPr>
        <w:t xml:space="preserve">flooring.  </w:t>
      </w:r>
      <w:r>
        <w:rPr>
          <w:rFonts w:ascii="Times New Roman" w:hAnsi="Times New Roman"/>
          <w:sz w:val="20"/>
          <w:szCs w:val="20"/>
        </w:rPr>
        <w:t>E</w:t>
      </w:r>
      <w:r w:rsidRPr="009234DC">
        <w:rPr>
          <w:rFonts w:ascii="Times New Roman" w:hAnsi="Times New Roman"/>
          <w:sz w:val="20"/>
          <w:szCs w:val="20"/>
        </w:rPr>
        <w:t xml:space="preserve">lectrical outlets and network connections </w:t>
      </w:r>
      <w:r>
        <w:rPr>
          <w:rFonts w:ascii="Times New Roman" w:hAnsi="Times New Roman"/>
          <w:sz w:val="20"/>
          <w:szCs w:val="20"/>
        </w:rPr>
        <w:t>in the</w:t>
      </w:r>
      <w:r w:rsidRPr="009234DC">
        <w:rPr>
          <w:rFonts w:ascii="Times New Roman" w:hAnsi="Times New Roman"/>
          <w:sz w:val="20"/>
          <w:szCs w:val="20"/>
        </w:rPr>
        <w:t xml:space="preserve"> raised flooring </w:t>
      </w:r>
      <w:r>
        <w:rPr>
          <w:rFonts w:ascii="Times New Roman" w:hAnsi="Times New Roman"/>
          <w:sz w:val="20"/>
          <w:szCs w:val="20"/>
        </w:rPr>
        <w:t>can be</w:t>
      </w:r>
      <w:r w:rsidRPr="009234DC">
        <w:rPr>
          <w:rFonts w:ascii="Times New Roman" w:hAnsi="Times New Roman"/>
          <w:sz w:val="20"/>
          <w:szCs w:val="20"/>
        </w:rPr>
        <w:t xml:space="preserve"> easily redesigned to meet the Library’s objectives.  </w:t>
      </w:r>
      <w:r>
        <w:rPr>
          <w:rFonts w:ascii="Times New Roman" w:hAnsi="Times New Roman"/>
          <w:sz w:val="20"/>
          <w:szCs w:val="20"/>
        </w:rPr>
        <w:t>T</w:t>
      </w:r>
      <w:r w:rsidRPr="009234DC">
        <w:rPr>
          <w:rFonts w:ascii="Times New Roman" w:hAnsi="Times New Roman"/>
          <w:sz w:val="20"/>
          <w:szCs w:val="20"/>
        </w:rPr>
        <w:t>he Provost’s Office also has contributed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34DC">
        <w:rPr>
          <w:rFonts w:ascii="Times New Roman" w:hAnsi="Times New Roman"/>
          <w:sz w:val="20"/>
          <w:szCs w:val="20"/>
        </w:rPr>
        <w:t xml:space="preserve">$37,000 towards MSL107 video conferencing equipment </w:t>
      </w:r>
      <w:r>
        <w:rPr>
          <w:rFonts w:ascii="Times New Roman" w:hAnsi="Times New Roman"/>
          <w:sz w:val="20"/>
          <w:szCs w:val="20"/>
        </w:rPr>
        <w:t>to</w:t>
      </w:r>
      <w:r w:rsidRPr="009234DC">
        <w:rPr>
          <w:rFonts w:ascii="Times New Roman" w:hAnsi="Times New Roman"/>
          <w:sz w:val="20"/>
          <w:szCs w:val="20"/>
        </w:rPr>
        <w:t xml:space="preserve"> facilitate Library assisted distance education and meetings.</w:t>
      </w:r>
    </w:p>
    <w:p w:rsidR="00AC5515" w:rsidRDefault="00A11D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following is the documentation for th</w:t>
      </w:r>
      <w:r w:rsidR="00EE2BF3">
        <w:rPr>
          <w:rFonts w:ascii="Times New Roman" w:hAnsi="Times New Roman" w:cs="Times New Roman"/>
          <w:sz w:val="20"/>
          <w:szCs w:val="20"/>
        </w:rPr>
        <w:t xml:space="preserve">e requested amount.  </w:t>
      </w:r>
    </w:p>
    <w:p w:rsidR="00D76001" w:rsidRPr="005A53E5" w:rsidRDefault="00D76001">
      <w:pPr>
        <w:rPr>
          <w:rFonts w:ascii="Times New Roman" w:hAnsi="Times New Roman" w:cs="Times New Roman"/>
          <w:b/>
          <w:sz w:val="20"/>
          <w:szCs w:val="20"/>
        </w:rPr>
      </w:pPr>
      <w:r w:rsidRPr="005A53E5">
        <w:rPr>
          <w:rFonts w:ascii="Times New Roman" w:hAnsi="Times New Roman" w:cs="Times New Roman"/>
          <w:b/>
          <w:sz w:val="20"/>
          <w:szCs w:val="20"/>
        </w:rPr>
        <w:t xml:space="preserve">Equipment </w:t>
      </w:r>
      <w:r w:rsidR="00EE2BF3" w:rsidRPr="005A53E5">
        <w:rPr>
          <w:rFonts w:ascii="Times New Roman" w:hAnsi="Times New Roman" w:cs="Times New Roman"/>
          <w:b/>
          <w:sz w:val="20"/>
          <w:szCs w:val="20"/>
        </w:rPr>
        <w:t>Start-Up Costs</w:t>
      </w:r>
      <w:r w:rsidRPr="005A53E5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894"/>
        <w:gridCol w:w="683"/>
        <w:gridCol w:w="1216"/>
        <w:gridCol w:w="1172"/>
      </w:tblGrid>
      <w:tr w:rsidR="00C67DA8" w:rsidRPr="00C67DA8" w:rsidTr="00C67DA8">
        <w:trPr>
          <w:trHeight w:val="252"/>
        </w:trPr>
        <w:tc>
          <w:tcPr>
            <w:tcW w:w="3060" w:type="dxa"/>
            <w:hideMark/>
          </w:tcPr>
          <w:p w:rsidR="00C67DA8" w:rsidRPr="00C67DA8" w:rsidRDefault="00EE2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C67DA8"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escription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CISE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Lib_Cost</w:t>
            </w:r>
            <w:proofErr w:type="spellEnd"/>
          </w:p>
        </w:tc>
        <w:tc>
          <w:tcPr>
            <w:tcW w:w="100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CISE_Cost</w:t>
            </w:r>
            <w:proofErr w:type="spellEnd"/>
          </w:p>
        </w:tc>
      </w:tr>
      <w:tr w:rsidR="00C67DA8" w:rsidRPr="00C67DA8" w:rsidTr="00C67DA8">
        <w:trPr>
          <w:trHeight w:val="252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Tridelity</w:t>
            </w:r>
            <w:proofErr w:type="spellEnd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Autostereoscopic</w:t>
            </w:r>
            <w:proofErr w:type="spellEnd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 xml:space="preserve"> 3D Displays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$14,000.00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$14,000.00</w:t>
            </w:r>
          </w:p>
        </w:tc>
      </w:tr>
      <w:tr w:rsidR="00C67DA8" w:rsidRPr="00C67DA8" w:rsidTr="00C67DA8">
        <w:trPr>
          <w:trHeight w:val="48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 xml:space="preserve">Planar </w:t>
            </w:r>
            <w:proofErr w:type="spellStart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StereoMirror</w:t>
            </w:r>
            <w:proofErr w:type="spellEnd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 xml:space="preserve"> (polarized) 3D group collaboration </w:t>
            </w:r>
            <w:proofErr w:type="spellStart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displays+kits</w:t>
            </w:r>
            <w:proofErr w:type="spellEnd"/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$11,714.28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$11,714.28</w:t>
            </w:r>
          </w:p>
        </w:tc>
      </w:tr>
      <w:tr w:rsidR="00C67DA8" w:rsidRPr="00C67DA8" w:rsidTr="00C67DA8">
        <w:trPr>
          <w:trHeight w:val="24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High-end Graphics PCs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A35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$54,400.00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$34,000.00</w:t>
            </w:r>
          </w:p>
        </w:tc>
      </w:tr>
      <w:tr w:rsidR="00C67DA8" w:rsidRPr="00C67DA8" w:rsidTr="00C67DA8">
        <w:trPr>
          <w:trHeight w:val="24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hand-held scanner and software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$35,000.00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C67DA8" w:rsidRPr="00C67DA8" w:rsidTr="00C67DA8">
        <w:trPr>
          <w:trHeight w:val="24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11x17 Epson Flatbed Scanner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$5,000.00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C67DA8" w:rsidRPr="00C67DA8" w:rsidTr="00C67DA8">
        <w:trPr>
          <w:trHeight w:val="48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Contex</w:t>
            </w:r>
            <w:proofErr w:type="spellEnd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 xml:space="preserve"> Large Format 42" wide roll scanner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$20,000.00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C67DA8" w:rsidRPr="00C67DA8" w:rsidTr="00C67DA8">
        <w:trPr>
          <w:trHeight w:val="24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Terabytes Secured Data Storage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$9,360.00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C67DA8" w:rsidRPr="00C67DA8" w:rsidTr="00C67DA8">
        <w:trPr>
          <w:trHeight w:val="24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Phantom Omni force-feedback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$10,000.00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$10,000.00</w:t>
            </w:r>
          </w:p>
        </w:tc>
      </w:tr>
      <w:tr w:rsidR="00C67DA8" w:rsidRPr="00C67DA8" w:rsidTr="00C67DA8">
        <w:trPr>
          <w:trHeight w:val="24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 xml:space="preserve">Collaboration Video </w:t>
            </w:r>
            <w:proofErr w:type="spellStart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Switchs</w:t>
            </w:r>
            <w:proofErr w:type="spellEnd"/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$6,000.00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C67DA8" w:rsidRPr="00C67DA8" w:rsidTr="00C67DA8">
        <w:trPr>
          <w:trHeight w:val="24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 xml:space="preserve">CISE 313 Security Equipment 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$2,000.00</w:t>
            </w:r>
          </w:p>
        </w:tc>
      </w:tr>
      <w:tr w:rsidR="00C67DA8" w:rsidRPr="00C67DA8" w:rsidTr="00C67DA8">
        <w:trPr>
          <w:trHeight w:val="24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Computer Chairs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$5,320.00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C67DA8" w:rsidRPr="00C67DA8" w:rsidTr="00C67DA8">
        <w:trPr>
          <w:trHeight w:val="492"/>
        </w:trPr>
        <w:tc>
          <w:tcPr>
            <w:tcW w:w="3060" w:type="dxa"/>
            <w:hideMark/>
          </w:tcPr>
          <w:p w:rsidR="00C67DA8" w:rsidRPr="00C67DA8" w:rsidRDefault="00C67DA8" w:rsidP="0057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 xml:space="preserve">ML107 Installed </w:t>
            </w:r>
            <w:proofErr w:type="spellStart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Collab</w:t>
            </w:r>
            <w:proofErr w:type="spellEnd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 xml:space="preserve"> Computer Table Furniture</w:t>
            </w:r>
            <w:r w:rsidR="00573A32">
              <w:rPr>
                <w:rFonts w:ascii="Times New Roman" w:hAnsi="Times New Roman" w:cs="Times New Roman"/>
                <w:sz w:val="20"/>
                <w:szCs w:val="20"/>
              </w:rPr>
              <w:t>, 18 Total Seats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$34,568.01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C67DA8" w:rsidRPr="00C67DA8" w:rsidTr="00C67DA8">
        <w:trPr>
          <w:trHeight w:val="48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Visualization Lab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Equipment </w:t>
            </w:r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Budget Request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$205,362.29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$71,714.28</w:t>
            </w:r>
          </w:p>
        </w:tc>
      </w:tr>
      <w:tr w:rsidR="00C67DA8" w:rsidRPr="00C67DA8" w:rsidTr="00C67DA8">
        <w:trPr>
          <w:trHeight w:val="24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$277,076.57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DA8" w:rsidRDefault="00C67DA8">
      <w:pPr>
        <w:rPr>
          <w:rFonts w:ascii="Times New Roman" w:hAnsi="Times New Roman" w:cs="Times New Roman"/>
          <w:sz w:val="20"/>
          <w:szCs w:val="20"/>
        </w:rPr>
      </w:pPr>
    </w:p>
    <w:p w:rsidR="008A35AE" w:rsidRDefault="008A35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7AAA">
        <w:rPr>
          <w:rFonts w:ascii="Times New Roman" w:hAnsi="Times New Roman" w:cs="Times New Roman"/>
          <w:sz w:val="20"/>
          <w:szCs w:val="20"/>
        </w:rPr>
        <w:t>Please note t</w:t>
      </w:r>
      <w:r w:rsidR="00C810C0" w:rsidRPr="00C810C0">
        <w:rPr>
          <w:rFonts w:ascii="Times New Roman" w:hAnsi="Times New Roman" w:cs="Times New Roman"/>
          <w:sz w:val="20"/>
          <w:szCs w:val="20"/>
        </w:rPr>
        <w:t>he 16</w:t>
      </w:r>
      <w:r w:rsidR="00C810C0" w:rsidRPr="00C810C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810C0">
        <w:rPr>
          <w:rFonts w:ascii="Times New Roman" w:hAnsi="Times New Roman" w:cs="Times New Roman"/>
          <w:sz w:val="20"/>
          <w:szCs w:val="20"/>
        </w:rPr>
        <w:t xml:space="preserve"> </w:t>
      </w:r>
      <w:r w:rsidR="00C810C0" w:rsidRPr="00C810C0">
        <w:rPr>
          <w:rFonts w:ascii="Times New Roman" w:hAnsi="Times New Roman" w:cs="Times New Roman"/>
          <w:sz w:val="20"/>
          <w:szCs w:val="20"/>
        </w:rPr>
        <w:t>computer is design</w:t>
      </w:r>
      <w:r w:rsidR="00C810C0">
        <w:rPr>
          <w:rFonts w:ascii="Times New Roman" w:hAnsi="Times New Roman" w:cs="Times New Roman"/>
          <w:sz w:val="20"/>
          <w:szCs w:val="20"/>
        </w:rPr>
        <w:t>ated</w:t>
      </w:r>
      <w:r w:rsidR="00C810C0" w:rsidRPr="00C810C0">
        <w:rPr>
          <w:rFonts w:ascii="Times New Roman" w:hAnsi="Times New Roman" w:cs="Times New Roman"/>
          <w:sz w:val="20"/>
          <w:szCs w:val="20"/>
        </w:rPr>
        <w:t xml:space="preserve"> for a large screen 3D display to be placed on a ½ round ADA </w:t>
      </w:r>
      <w:r w:rsidR="00C810C0">
        <w:rPr>
          <w:rFonts w:ascii="Times New Roman" w:hAnsi="Times New Roman" w:cs="Times New Roman"/>
          <w:sz w:val="20"/>
          <w:szCs w:val="20"/>
        </w:rPr>
        <w:t xml:space="preserve">compliant </w:t>
      </w:r>
      <w:r w:rsidR="00C810C0" w:rsidRPr="00C810C0">
        <w:rPr>
          <w:rFonts w:ascii="Times New Roman" w:hAnsi="Times New Roman" w:cs="Times New Roman"/>
          <w:sz w:val="20"/>
          <w:szCs w:val="20"/>
        </w:rPr>
        <w:t>collaboration table.</w:t>
      </w:r>
      <w:r w:rsidR="00C810C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An ADA keyboard and mouse will also be installed.</w:t>
      </w:r>
      <w:r w:rsidR="00C810C0">
        <w:rPr>
          <w:rFonts w:ascii="Times New Roman" w:hAnsi="Times New Roman" w:cs="Times New Roman"/>
          <w:sz w:val="20"/>
          <w:szCs w:val="20"/>
        </w:rPr>
        <w:t xml:space="preserve">  The focus of the 16</w:t>
      </w:r>
      <w:r w:rsidR="00C810C0" w:rsidRPr="00C810C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810C0">
        <w:rPr>
          <w:rFonts w:ascii="Times New Roman" w:hAnsi="Times New Roman" w:cs="Times New Roman"/>
          <w:sz w:val="20"/>
          <w:szCs w:val="20"/>
        </w:rPr>
        <w:t xml:space="preserve"> computer </w:t>
      </w:r>
      <w:r w:rsidR="00C810C0">
        <w:rPr>
          <w:rFonts w:ascii="Times New Roman" w:hAnsi="Times New Roman" w:cs="Times New Roman"/>
          <w:sz w:val="20"/>
          <w:szCs w:val="20"/>
        </w:rPr>
        <w:lastRenderedPageBreak/>
        <w:t xml:space="preserve">will be use of the Library’s </w:t>
      </w:r>
      <w:proofErr w:type="spellStart"/>
      <w:r w:rsidR="00C810C0" w:rsidRPr="00C67DA8">
        <w:rPr>
          <w:rFonts w:ascii="Times New Roman" w:hAnsi="Times New Roman" w:cs="Times New Roman"/>
          <w:sz w:val="20"/>
          <w:szCs w:val="20"/>
        </w:rPr>
        <w:t>Matrox</w:t>
      </w:r>
      <w:proofErr w:type="spellEnd"/>
      <w:r w:rsidR="00C810C0" w:rsidRPr="00C67DA8">
        <w:rPr>
          <w:rFonts w:ascii="Times New Roman" w:hAnsi="Times New Roman" w:cs="Times New Roman"/>
          <w:sz w:val="20"/>
          <w:szCs w:val="20"/>
        </w:rPr>
        <w:t xml:space="preserve"> </w:t>
      </w:r>
      <w:r w:rsidR="008E7AAA">
        <w:rPr>
          <w:rFonts w:ascii="Times New Roman" w:hAnsi="Times New Roman" w:cs="Times New Roman"/>
          <w:sz w:val="20"/>
          <w:szCs w:val="20"/>
        </w:rPr>
        <w:t xml:space="preserve">3D </w:t>
      </w:r>
      <w:r w:rsidR="00C810C0" w:rsidRPr="00C67DA8">
        <w:rPr>
          <w:rFonts w:ascii="Times New Roman" w:hAnsi="Times New Roman" w:cs="Times New Roman"/>
          <w:sz w:val="20"/>
          <w:szCs w:val="20"/>
        </w:rPr>
        <w:t>Surround SDK</w:t>
      </w:r>
      <w:r w:rsidR="008E7AAA">
        <w:rPr>
          <w:rFonts w:ascii="Times New Roman" w:hAnsi="Times New Roman" w:cs="Times New Roman"/>
          <w:sz w:val="20"/>
          <w:szCs w:val="20"/>
        </w:rPr>
        <w:t xml:space="preserve"> </w:t>
      </w:r>
      <w:r w:rsidR="008E7AAA" w:rsidRPr="008E7AAA">
        <w:rPr>
          <w:rFonts w:ascii="Times New Roman" w:hAnsi="Times New Roman" w:cs="Times New Roman"/>
          <w:sz w:val="20"/>
          <w:szCs w:val="20"/>
        </w:rPr>
        <w:t>listed below in the one-time software purchase section</w:t>
      </w:r>
      <w:r w:rsidR="00C810C0">
        <w:rPr>
          <w:rFonts w:ascii="Times New Roman" w:hAnsi="Times New Roman" w:cs="Times New Roman"/>
          <w:sz w:val="20"/>
          <w:szCs w:val="20"/>
        </w:rPr>
        <w:t xml:space="preserve">.  </w:t>
      </w:r>
      <w:r w:rsidR="00C810C0" w:rsidRPr="00C810C0">
        <w:rPr>
          <w:rFonts w:ascii="Times New Roman" w:hAnsi="Times New Roman" w:cs="Times New Roman"/>
          <w:sz w:val="20"/>
          <w:szCs w:val="20"/>
        </w:rPr>
        <w:t xml:space="preserve">The </w:t>
      </w:r>
      <w:r w:rsidR="001C0FA8">
        <w:rPr>
          <w:rFonts w:ascii="Times New Roman" w:hAnsi="Times New Roman" w:cs="Times New Roman"/>
          <w:sz w:val="20"/>
          <w:szCs w:val="20"/>
        </w:rPr>
        <w:t xml:space="preserve">remaining </w:t>
      </w:r>
      <w:r w:rsidR="00C810C0" w:rsidRPr="00C810C0">
        <w:rPr>
          <w:rFonts w:ascii="Times New Roman" w:hAnsi="Times New Roman" w:cs="Times New Roman"/>
          <w:sz w:val="20"/>
          <w:szCs w:val="20"/>
        </w:rPr>
        <w:t xml:space="preserve">software licenses will float from a server thus they </w:t>
      </w:r>
      <w:r w:rsidR="001C0FA8">
        <w:rPr>
          <w:rFonts w:ascii="Times New Roman" w:hAnsi="Times New Roman" w:cs="Times New Roman"/>
          <w:sz w:val="20"/>
          <w:szCs w:val="20"/>
        </w:rPr>
        <w:t>can be used on any one of the computers.</w:t>
      </w:r>
      <w:r w:rsidR="008E7AA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AD411D" w:rsidRDefault="00AD411D">
      <w:pPr>
        <w:rPr>
          <w:rFonts w:ascii="Times New Roman" w:hAnsi="Times New Roman" w:cs="Times New Roman"/>
          <w:b/>
          <w:sz w:val="20"/>
          <w:szCs w:val="20"/>
        </w:rPr>
      </w:pPr>
    </w:p>
    <w:p w:rsidR="00D76001" w:rsidRPr="005A53E5" w:rsidRDefault="00D76001">
      <w:pPr>
        <w:rPr>
          <w:rFonts w:ascii="Times New Roman" w:hAnsi="Times New Roman" w:cs="Times New Roman"/>
          <w:b/>
          <w:sz w:val="20"/>
          <w:szCs w:val="20"/>
        </w:rPr>
      </w:pPr>
      <w:r w:rsidRPr="005A53E5">
        <w:rPr>
          <w:rFonts w:ascii="Times New Roman" w:hAnsi="Times New Roman" w:cs="Times New Roman"/>
          <w:b/>
          <w:sz w:val="20"/>
          <w:szCs w:val="20"/>
        </w:rPr>
        <w:t xml:space="preserve">Software </w:t>
      </w:r>
      <w:r w:rsidR="00EE2BF3" w:rsidRPr="005A53E5">
        <w:rPr>
          <w:rFonts w:ascii="Times New Roman" w:hAnsi="Times New Roman" w:cs="Times New Roman"/>
          <w:b/>
          <w:sz w:val="20"/>
          <w:szCs w:val="20"/>
        </w:rPr>
        <w:t>Start-Up Costs</w:t>
      </w:r>
      <w:r w:rsidR="005A53E5">
        <w:rPr>
          <w:rFonts w:ascii="Times New Roman" w:hAnsi="Times New Roman" w:cs="Times New Roman"/>
          <w:b/>
          <w:sz w:val="20"/>
          <w:szCs w:val="20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894"/>
        <w:gridCol w:w="683"/>
        <w:gridCol w:w="1116"/>
        <w:gridCol w:w="1172"/>
      </w:tblGrid>
      <w:tr w:rsidR="00C67DA8" w:rsidRPr="00C67DA8" w:rsidTr="00C67DA8">
        <w:trPr>
          <w:trHeight w:val="252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Software Licenses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CISE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Lib_Cost</w:t>
            </w:r>
            <w:proofErr w:type="spellEnd"/>
          </w:p>
        </w:tc>
        <w:tc>
          <w:tcPr>
            <w:tcW w:w="100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CISE_Cost</w:t>
            </w:r>
            <w:proofErr w:type="spellEnd"/>
          </w:p>
        </w:tc>
      </w:tr>
      <w:tr w:rsidR="00C67DA8" w:rsidRPr="00C67DA8" w:rsidTr="00C67DA8">
        <w:trPr>
          <w:trHeight w:val="252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Matlab</w:t>
            </w:r>
            <w:proofErr w:type="spellEnd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licences</w:t>
            </w:r>
            <w:proofErr w:type="spellEnd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 xml:space="preserve"> and toolkits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$400.00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$400.00</w:t>
            </w:r>
          </w:p>
        </w:tc>
      </w:tr>
      <w:tr w:rsidR="00C67DA8" w:rsidRPr="00C67DA8" w:rsidTr="00C67DA8">
        <w:trPr>
          <w:trHeight w:val="24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Mathematica</w:t>
            </w:r>
            <w:proofErr w:type="spellEnd"/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$3,750.00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C67DA8" w:rsidRPr="00C67DA8" w:rsidTr="00C67DA8">
        <w:trPr>
          <w:trHeight w:val="48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Production Premium CS 5 (Includes video production)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$5,670.00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$2,835.00</w:t>
            </w:r>
          </w:p>
        </w:tc>
      </w:tr>
      <w:tr w:rsidR="00C67DA8" w:rsidRPr="00C67DA8" w:rsidTr="00C67DA8">
        <w:trPr>
          <w:trHeight w:val="24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Sigmaplot</w:t>
            </w:r>
            <w:proofErr w:type="spellEnd"/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$825.00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C67DA8" w:rsidRPr="00C67DA8" w:rsidTr="00C67DA8">
        <w:trPr>
          <w:trHeight w:val="24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SAS statistical software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$1,125.00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C67DA8" w:rsidRPr="00C67DA8" w:rsidTr="00C67DA8">
        <w:trPr>
          <w:trHeight w:val="24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Autodesk Education Master Suite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$4,050.00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C67DA8" w:rsidRPr="00C67DA8" w:rsidTr="00C67DA8">
        <w:trPr>
          <w:trHeight w:val="48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ArcGIS GIS Software (unlimited licenses)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$500.00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C67DA8" w:rsidRPr="00C67DA8" w:rsidTr="00C67DA8">
        <w:trPr>
          <w:trHeight w:val="48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ERDAS Imagine Licenses (User Group Purchase Price)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$2,250.00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C67DA8" w:rsidRPr="00C67DA8" w:rsidTr="00C67DA8">
        <w:trPr>
          <w:trHeight w:val="252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 xml:space="preserve">ERDAS </w:t>
            </w:r>
            <w:proofErr w:type="spellStart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Photgrammetry</w:t>
            </w:r>
            <w:proofErr w:type="spellEnd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 xml:space="preserve"> Suite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$1,500.00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C67DA8" w:rsidRPr="00C67DA8" w:rsidTr="00C67DA8">
        <w:trPr>
          <w:trHeight w:val="252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Annual Software Costs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$20,070.00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$3,235.00</w:t>
            </w:r>
          </w:p>
        </w:tc>
      </w:tr>
      <w:tr w:rsidR="00C67DA8" w:rsidRPr="00C67DA8" w:rsidTr="00C67DA8">
        <w:trPr>
          <w:trHeight w:val="24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$23,305.00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DA8" w:rsidRDefault="00C67DA8">
      <w:pPr>
        <w:rPr>
          <w:rFonts w:ascii="Times New Roman" w:hAnsi="Times New Roman" w:cs="Times New Roman"/>
          <w:sz w:val="20"/>
          <w:szCs w:val="20"/>
        </w:rPr>
      </w:pPr>
    </w:p>
    <w:p w:rsidR="00D76001" w:rsidRPr="005A53E5" w:rsidRDefault="00D76001">
      <w:pPr>
        <w:rPr>
          <w:rFonts w:ascii="Times New Roman" w:hAnsi="Times New Roman" w:cs="Times New Roman"/>
          <w:b/>
          <w:sz w:val="20"/>
          <w:szCs w:val="20"/>
        </w:rPr>
      </w:pPr>
      <w:r w:rsidRPr="005A53E5">
        <w:rPr>
          <w:rFonts w:ascii="Times New Roman" w:hAnsi="Times New Roman" w:cs="Times New Roman"/>
          <w:b/>
          <w:sz w:val="20"/>
          <w:szCs w:val="20"/>
        </w:rPr>
        <w:t>One time software purchase: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894"/>
        <w:gridCol w:w="683"/>
        <w:gridCol w:w="1116"/>
        <w:gridCol w:w="1172"/>
      </w:tblGrid>
      <w:tr w:rsidR="00C67DA8" w:rsidRPr="00C67DA8" w:rsidTr="00C67DA8">
        <w:trPr>
          <w:trHeight w:val="252"/>
        </w:trPr>
        <w:tc>
          <w:tcPr>
            <w:tcW w:w="3060" w:type="dxa"/>
            <w:hideMark/>
          </w:tcPr>
          <w:p w:rsidR="00C67DA8" w:rsidRPr="00C67DA8" w:rsidRDefault="00440FC2" w:rsidP="00440F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One Time </w:t>
            </w:r>
            <w:r w:rsidR="00C67DA8"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Software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Purchase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CISE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Lib_Cost</w:t>
            </w:r>
            <w:proofErr w:type="spellEnd"/>
          </w:p>
        </w:tc>
        <w:tc>
          <w:tcPr>
            <w:tcW w:w="100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CISE_Cost</w:t>
            </w:r>
            <w:proofErr w:type="spellEnd"/>
          </w:p>
        </w:tc>
      </w:tr>
      <w:tr w:rsidR="00C67DA8" w:rsidRPr="00C67DA8" w:rsidTr="00C67DA8">
        <w:trPr>
          <w:trHeight w:val="252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Matrox</w:t>
            </w:r>
            <w:proofErr w:type="spellEnd"/>
            <w:r w:rsidRPr="00C67DA8">
              <w:rPr>
                <w:rFonts w:ascii="Times New Roman" w:hAnsi="Times New Roman" w:cs="Times New Roman"/>
                <w:sz w:val="20"/>
                <w:szCs w:val="20"/>
              </w:rPr>
              <w:t xml:space="preserve"> Surround SDK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$1,200.00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$12,000.00</w:t>
            </w:r>
          </w:p>
        </w:tc>
      </w:tr>
      <w:tr w:rsidR="00C67DA8" w:rsidRPr="00C67DA8" w:rsidTr="00C67DA8">
        <w:trPr>
          <w:trHeight w:val="504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IDL+ENVI Annual Maintenance All Licenses*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$7,000.00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C67DA8" w:rsidRPr="00C67DA8" w:rsidTr="00C67DA8">
        <w:trPr>
          <w:trHeight w:val="252"/>
        </w:trPr>
        <w:tc>
          <w:tcPr>
            <w:tcW w:w="3060" w:type="dxa"/>
            <w:hideMark/>
          </w:tcPr>
          <w:p w:rsidR="00C67DA8" w:rsidRPr="00C67DA8" w:rsidRDefault="00C67DA8" w:rsidP="00440F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="00440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One time </w:t>
            </w:r>
            <w:r w:rsidRPr="00C6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Software Costs</w:t>
            </w:r>
          </w:p>
        </w:tc>
        <w:tc>
          <w:tcPr>
            <w:tcW w:w="80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$8,200.00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$12,000.00</w:t>
            </w:r>
          </w:p>
        </w:tc>
      </w:tr>
      <w:tr w:rsidR="00C67DA8" w:rsidRPr="00C67DA8" w:rsidTr="00C67DA8">
        <w:trPr>
          <w:trHeight w:val="240"/>
        </w:trPr>
        <w:tc>
          <w:tcPr>
            <w:tcW w:w="3060" w:type="dxa"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40" w:type="dxa"/>
            <w:noWrap/>
            <w:hideMark/>
          </w:tcPr>
          <w:p w:rsidR="00C67DA8" w:rsidRPr="00C67DA8" w:rsidRDefault="00C67DA8" w:rsidP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DA8">
              <w:rPr>
                <w:rFonts w:ascii="Times New Roman" w:hAnsi="Times New Roman" w:cs="Times New Roman"/>
                <w:sz w:val="20"/>
                <w:szCs w:val="20"/>
              </w:rPr>
              <w:t>$20,200.00</w:t>
            </w:r>
          </w:p>
        </w:tc>
        <w:tc>
          <w:tcPr>
            <w:tcW w:w="1000" w:type="dxa"/>
            <w:noWrap/>
            <w:hideMark/>
          </w:tcPr>
          <w:p w:rsidR="00C67DA8" w:rsidRPr="00C67DA8" w:rsidRDefault="00C6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001" w:rsidRDefault="00D76001">
      <w:pPr>
        <w:rPr>
          <w:rFonts w:ascii="Times New Roman" w:hAnsi="Times New Roman" w:cs="Times New Roman"/>
          <w:sz w:val="20"/>
          <w:szCs w:val="20"/>
        </w:rPr>
      </w:pPr>
    </w:p>
    <w:p w:rsidR="00E56F77" w:rsidRDefault="00C67DA8">
      <w:pPr>
        <w:rPr>
          <w:rFonts w:ascii="Times New Roman" w:hAnsi="Times New Roman" w:cs="Times New Roman"/>
          <w:sz w:val="20"/>
          <w:szCs w:val="20"/>
        </w:rPr>
      </w:pPr>
      <w:r w:rsidRPr="005A53E5">
        <w:rPr>
          <w:rFonts w:ascii="Times New Roman" w:hAnsi="Times New Roman" w:cs="Times New Roman"/>
          <w:b/>
          <w:sz w:val="20"/>
          <w:szCs w:val="20"/>
        </w:rPr>
        <w:t>Sustainability Costs</w:t>
      </w:r>
      <w:r w:rsidR="005A53E5" w:rsidRPr="005A53E5">
        <w:rPr>
          <w:rFonts w:ascii="Times New Roman" w:hAnsi="Times New Roman" w:cs="Times New Roman"/>
          <w:b/>
          <w:sz w:val="20"/>
          <w:szCs w:val="20"/>
        </w:rPr>
        <w:t>:</w:t>
      </w:r>
      <w:r w:rsidR="005A53E5">
        <w:rPr>
          <w:rFonts w:ascii="Times New Roman" w:hAnsi="Times New Roman" w:cs="Times New Roman"/>
          <w:sz w:val="20"/>
          <w:szCs w:val="20"/>
        </w:rPr>
        <w:t xml:space="preserve"> estimated annual cost to reserve over a 3 year replacement cycle and renew annual software licenses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D76001" w:rsidRDefault="00C67D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Total estimated sustainability costs for </w:t>
      </w:r>
      <w:r w:rsidR="00E56F77">
        <w:rPr>
          <w:rFonts w:ascii="Times New Roman" w:hAnsi="Times New Roman" w:cs="Times New Roman"/>
          <w:sz w:val="20"/>
          <w:szCs w:val="20"/>
        </w:rPr>
        <w:t xml:space="preserve">Library </w:t>
      </w:r>
      <w:r>
        <w:rPr>
          <w:rFonts w:ascii="Times New Roman" w:hAnsi="Times New Roman" w:cs="Times New Roman"/>
          <w:sz w:val="20"/>
          <w:szCs w:val="20"/>
        </w:rPr>
        <w:t>software</w:t>
      </w:r>
      <w:r w:rsidR="00E56F77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equipment replacement</w:t>
      </w:r>
      <w:r w:rsidR="00E56F77">
        <w:rPr>
          <w:rFonts w:ascii="Times New Roman" w:hAnsi="Times New Roman" w:cs="Times New Roman"/>
          <w:sz w:val="20"/>
          <w:szCs w:val="20"/>
        </w:rPr>
        <w:t xml:space="preserve">, and secure data storage are </w:t>
      </w:r>
      <w:r w:rsidR="00E56F77" w:rsidRPr="00E56F77">
        <w:rPr>
          <w:rFonts w:ascii="Times New Roman" w:hAnsi="Times New Roman" w:cs="Times New Roman"/>
          <w:sz w:val="20"/>
          <w:szCs w:val="20"/>
        </w:rPr>
        <w:t>$56,565.00</w:t>
      </w:r>
      <w:r w:rsidR="00161F41">
        <w:rPr>
          <w:rFonts w:ascii="Times New Roman" w:hAnsi="Times New Roman" w:cs="Times New Roman"/>
          <w:sz w:val="20"/>
          <w:szCs w:val="20"/>
        </w:rPr>
        <w:t xml:space="preserve"> annually.</w:t>
      </w:r>
    </w:p>
    <w:p w:rsidR="00C67DA8" w:rsidRDefault="00E56F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CISE estimated </w:t>
      </w:r>
      <w:r w:rsidR="005A53E5">
        <w:rPr>
          <w:rFonts w:ascii="Times New Roman" w:hAnsi="Times New Roman" w:cs="Times New Roman"/>
          <w:sz w:val="20"/>
          <w:szCs w:val="20"/>
        </w:rPr>
        <w:t xml:space="preserve">annual </w:t>
      </w:r>
      <w:r>
        <w:rPr>
          <w:rFonts w:ascii="Times New Roman" w:hAnsi="Times New Roman" w:cs="Times New Roman"/>
          <w:sz w:val="20"/>
          <w:szCs w:val="20"/>
        </w:rPr>
        <w:t>sustainability costs for software and equipment replacement</w:t>
      </w:r>
      <w:r w:rsidR="005A53E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are </w:t>
      </w:r>
      <w:r w:rsidRPr="00E56F77">
        <w:rPr>
          <w:rFonts w:ascii="Times New Roman" w:hAnsi="Times New Roman" w:cs="Times New Roman"/>
          <w:sz w:val="20"/>
          <w:szCs w:val="20"/>
        </w:rPr>
        <w:t>$17,368.33</w:t>
      </w:r>
    </w:p>
    <w:p w:rsidR="00D76001" w:rsidRDefault="00D76001">
      <w:pPr>
        <w:rPr>
          <w:rFonts w:ascii="Times New Roman" w:hAnsi="Times New Roman" w:cs="Times New Roman"/>
          <w:sz w:val="20"/>
          <w:szCs w:val="20"/>
        </w:rPr>
      </w:pPr>
    </w:p>
    <w:p w:rsidR="00D76001" w:rsidRDefault="00D76001">
      <w:pPr>
        <w:rPr>
          <w:rFonts w:ascii="Times New Roman" w:hAnsi="Times New Roman" w:cs="Times New Roman"/>
          <w:sz w:val="20"/>
          <w:szCs w:val="20"/>
        </w:rPr>
      </w:pPr>
    </w:p>
    <w:p w:rsidR="00D76001" w:rsidRDefault="00D76001">
      <w:pPr>
        <w:rPr>
          <w:rFonts w:ascii="Times New Roman" w:hAnsi="Times New Roman" w:cs="Times New Roman"/>
          <w:sz w:val="20"/>
          <w:szCs w:val="20"/>
        </w:rPr>
      </w:pPr>
    </w:p>
    <w:p w:rsidR="00D76001" w:rsidRDefault="00D76001">
      <w:pPr>
        <w:rPr>
          <w:rFonts w:ascii="Times New Roman" w:hAnsi="Times New Roman" w:cs="Times New Roman"/>
          <w:sz w:val="20"/>
          <w:szCs w:val="20"/>
        </w:rPr>
      </w:pPr>
    </w:p>
    <w:sectPr w:rsidR="00D76001" w:rsidSect="0037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966"/>
    <w:multiLevelType w:val="hybridMultilevel"/>
    <w:tmpl w:val="C7AA37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32445"/>
    <w:multiLevelType w:val="hybridMultilevel"/>
    <w:tmpl w:val="3D5A2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841D9"/>
    <w:multiLevelType w:val="hybridMultilevel"/>
    <w:tmpl w:val="EE641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2F"/>
    <w:rsid w:val="0000415C"/>
    <w:rsid w:val="00020BE4"/>
    <w:rsid w:val="00023EF9"/>
    <w:rsid w:val="00036051"/>
    <w:rsid w:val="00053D48"/>
    <w:rsid w:val="000605C3"/>
    <w:rsid w:val="00094F9F"/>
    <w:rsid w:val="000A121F"/>
    <w:rsid w:val="000E6FF1"/>
    <w:rsid w:val="00105562"/>
    <w:rsid w:val="00161F41"/>
    <w:rsid w:val="001856FF"/>
    <w:rsid w:val="001A5240"/>
    <w:rsid w:val="001C0FA8"/>
    <w:rsid w:val="001E075A"/>
    <w:rsid w:val="002233D8"/>
    <w:rsid w:val="00230E50"/>
    <w:rsid w:val="00230EED"/>
    <w:rsid w:val="00244841"/>
    <w:rsid w:val="002541FC"/>
    <w:rsid w:val="002665F8"/>
    <w:rsid w:val="00275A94"/>
    <w:rsid w:val="00284B7A"/>
    <w:rsid w:val="002A224B"/>
    <w:rsid w:val="002E1DC2"/>
    <w:rsid w:val="00304FE4"/>
    <w:rsid w:val="00314BB8"/>
    <w:rsid w:val="00330C79"/>
    <w:rsid w:val="003372E5"/>
    <w:rsid w:val="003524E0"/>
    <w:rsid w:val="0037313F"/>
    <w:rsid w:val="003C1B92"/>
    <w:rsid w:val="003C1E36"/>
    <w:rsid w:val="003C72E8"/>
    <w:rsid w:val="003D4EBE"/>
    <w:rsid w:val="003F10BD"/>
    <w:rsid w:val="00440FC2"/>
    <w:rsid w:val="00453F01"/>
    <w:rsid w:val="00463419"/>
    <w:rsid w:val="00486468"/>
    <w:rsid w:val="004C7871"/>
    <w:rsid w:val="004D7558"/>
    <w:rsid w:val="0051342D"/>
    <w:rsid w:val="00547529"/>
    <w:rsid w:val="00552A40"/>
    <w:rsid w:val="00573A32"/>
    <w:rsid w:val="00597FB5"/>
    <w:rsid w:val="005A4C49"/>
    <w:rsid w:val="005A53E5"/>
    <w:rsid w:val="005D66E9"/>
    <w:rsid w:val="005F7302"/>
    <w:rsid w:val="006076E0"/>
    <w:rsid w:val="0064440F"/>
    <w:rsid w:val="006826BA"/>
    <w:rsid w:val="00693856"/>
    <w:rsid w:val="006A6415"/>
    <w:rsid w:val="006B1101"/>
    <w:rsid w:val="007119C9"/>
    <w:rsid w:val="00720E5A"/>
    <w:rsid w:val="00782D77"/>
    <w:rsid w:val="007840FC"/>
    <w:rsid w:val="007C39E0"/>
    <w:rsid w:val="007E2691"/>
    <w:rsid w:val="00804E6E"/>
    <w:rsid w:val="00807B55"/>
    <w:rsid w:val="00887B96"/>
    <w:rsid w:val="00891FBA"/>
    <w:rsid w:val="008A041E"/>
    <w:rsid w:val="008A35AE"/>
    <w:rsid w:val="008C63E7"/>
    <w:rsid w:val="008E7AAA"/>
    <w:rsid w:val="00902F69"/>
    <w:rsid w:val="00904864"/>
    <w:rsid w:val="00917487"/>
    <w:rsid w:val="00994EA0"/>
    <w:rsid w:val="009A77E0"/>
    <w:rsid w:val="009B7848"/>
    <w:rsid w:val="009D0B17"/>
    <w:rsid w:val="00A11DF3"/>
    <w:rsid w:val="00A177F9"/>
    <w:rsid w:val="00A670F1"/>
    <w:rsid w:val="00A97023"/>
    <w:rsid w:val="00AC5515"/>
    <w:rsid w:val="00AD411D"/>
    <w:rsid w:val="00B02EE0"/>
    <w:rsid w:val="00BD7004"/>
    <w:rsid w:val="00C042ED"/>
    <w:rsid w:val="00C67DA8"/>
    <w:rsid w:val="00C810C0"/>
    <w:rsid w:val="00C911F0"/>
    <w:rsid w:val="00CA5DE3"/>
    <w:rsid w:val="00CB652F"/>
    <w:rsid w:val="00CD0ADE"/>
    <w:rsid w:val="00CD1A0E"/>
    <w:rsid w:val="00CD2502"/>
    <w:rsid w:val="00D06C15"/>
    <w:rsid w:val="00D3697A"/>
    <w:rsid w:val="00D76001"/>
    <w:rsid w:val="00D861C1"/>
    <w:rsid w:val="00DC3A2E"/>
    <w:rsid w:val="00DC4F39"/>
    <w:rsid w:val="00DD0830"/>
    <w:rsid w:val="00E304A8"/>
    <w:rsid w:val="00E56F77"/>
    <w:rsid w:val="00EC5A7C"/>
    <w:rsid w:val="00ED5B8D"/>
    <w:rsid w:val="00ED749F"/>
    <w:rsid w:val="00EE2BF3"/>
    <w:rsid w:val="00EE4949"/>
    <w:rsid w:val="00EF2AB2"/>
    <w:rsid w:val="00EF598C"/>
    <w:rsid w:val="00F402CB"/>
    <w:rsid w:val="00F40A7E"/>
    <w:rsid w:val="00F5140A"/>
    <w:rsid w:val="00F52BF5"/>
    <w:rsid w:val="00F92111"/>
    <w:rsid w:val="00F93AAF"/>
    <w:rsid w:val="00FB00E6"/>
    <w:rsid w:val="00FC76DA"/>
    <w:rsid w:val="00FD3D23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65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52F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ListParagraph">
    <w:name w:val="List Paragraph"/>
    <w:basedOn w:val="Normal"/>
    <w:uiPriority w:val="34"/>
    <w:qFormat/>
    <w:rsid w:val="00CB652F"/>
    <w:pPr>
      <w:ind w:left="720"/>
      <w:contextualSpacing/>
    </w:pPr>
    <w:rPr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B652F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table" w:styleId="TableGrid">
    <w:name w:val="Table Grid"/>
    <w:basedOn w:val="TableNormal"/>
    <w:uiPriority w:val="59"/>
    <w:rsid w:val="00CB652F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77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5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65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52F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ListParagraph">
    <w:name w:val="List Paragraph"/>
    <w:basedOn w:val="Normal"/>
    <w:uiPriority w:val="34"/>
    <w:qFormat/>
    <w:rsid w:val="00CB652F"/>
    <w:pPr>
      <w:ind w:left="720"/>
      <w:contextualSpacing/>
    </w:pPr>
    <w:rPr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B652F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table" w:styleId="TableGrid">
    <w:name w:val="Table Grid"/>
    <w:basedOn w:val="TableNormal"/>
    <w:uiPriority w:val="59"/>
    <w:rsid w:val="00CB652F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77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61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@cise.ufl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apper@uflib.uf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he@cise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33D8-5ED0-4757-B189-7391F25F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Fedro S. Zazueta</dc:creator>
  <cp:lastModifiedBy>Aufmuth, Joe</cp:lastModifiedBy>
  <cp:revision>4</cp:revision>
  <cp:lastPrinted>2011-04-18T13:38:00Z</cp:lastPrinted>
  <dcterms:created xsi:type="dcterms:W3CDTF">2011-04-18T13:39:00Z</dcterms:created>
  <dcterms:modified xsi:type="dcterms:W3CDTF">2011-04-18T13:43:00Z</dcterms:modified>
</cp:coreProperties>
</file>