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87" w:rsidRPr="00C12455" w:rsidRDefault="003C7A87" w:rsidP="00571865">
      <w:pPr>
        <w:rPr>
          <w:b/>
          <w:sz w:val="28"/>
          <w:szCs w:val="28"/>
        </w:rPr>
      </w:pPr>
      <w:r w:rsidRPr="00C12455">
        <w:rPr>
          <w:b/>
          <w:sz w:val="28"/>
          <w:szCs w:val="28"/>
        </w:rPr>
        <w:t>Background</w:t>
      </w:r>
    </w:p>
    <w:p w:rsidR="00571865" w:rsidRDefault="00571865" w:rsidP="00571865">
      <w:r>
        <w:t>The University of Florida (UF) is a major, public, comprehensive, land-grant, research university</w:t>
      </w:r>
      <w:r w:rsidR="00A22EAB">
        <w:t xml:space="preserve"> and</w:t>
      </w:r>
      <w:r>
        <w:t xml:space="preserve"> among the nation's most academically diverse public universities</w:t>
      </w:r>
      <w:r w:rsidR="00FB6962">
        <w:t xml:space="preserve">. It </w:t>
      </w:r>
      <w:r>
        <w:t>is one of only 17 public, land-grant universities that belong to the Association of American Universities</w:t>
      </w:r>
      <w:r w:rsidR="00FB6962">
        <w:t>,</w:t>
      </w:r>
      <w:r>
        <w:t xml:space="preserve"> and is one of the largest universities in the nation, with more than 50,000 students. </w:t>
      </w:r>
      <w:r w:rsidR="005B0895">
        <w:t>In 2014, w</w:t>
      </w:r>
      <w:r w:rsidR="005B0895" w:rsidRPr="005B0895">
        <w:t xml:space="preserve">ith the support of </w:t>
      </w:r>
      <w:r w:rsidR="007A01A0">
        <w:t xml:space="preserve">state </w:t>
      </w:r>
      <w:r w:rsidR="005B0895" w:rsidRPr="005B0895">
        <w:t xml:space="preserve">lawmakers and the UF Trustees, UF launched </w:t>
      </w:r>
      <w:r w:rsidR="005B0895" w:rsidRPr="00FB6962">
        <w:rPr>
          <w:i/>
        </w:rPr>
        <w:t>UF Rising</w:t>
      </w:r>
      <w:r w:rsidR="005B0895" w:rsidRPr="005B0895">
        <w:t xml:space="preserve"> – a five-year initiative to elevate the </w:t>
      </w:r>
      <w:r w:rsidR="00786D66">
        <w:t>U</w:t>
      </w:r>
      <w:r w:rsidR="005B0895" w:rsidRPr="005B0895">
        <w:t xml:space="preserve">niversity </w:t>
      </w:r>
      <w:r w:rsidR="00AF5FFE">
        <w:t xml:space="preserve">to </w:t>
      </w:r>
      <w:r w:rsidR="00A22EAB">
        <w:t xml:space="preserve">be </w:t>
      </w:r>
      <w:r w:rsidR="005B0895" w:rsidRPr="005B0895">
        <w:t xml:space="preserve">among the nation’s top public universities. </w:t>
      </w:r>
      <w:r w:rsidR="001A5660">
        <w:t xml:space="preserve"> P</w:t>
      </w:r>
      <w:r w:rsidR="007A01A0">
        <w:t xml:space="preserve">rojected expenditures </w:t>
      </w:r>
      <w:r w:rsidR="001A5660">
        <w:t xml:space="preserve">of </w:t>
      </w:r>
      <w:r w:rsidR="001A5660" w:rsidRPr="005B0895">
        <w:t>$</w:t>
      </w:r>
      <w:r w:rsidR="001A5660">
        <w:t>9</w:t>
      </w:r>
      <w:r w:rsidR="001A5660" w:rsidRPr="005B0895">
        <w:t xml:space="preserve">50 million </w:t>
      </w:r>
      <w:r w:rsidR="001A5660">
        <w:t>will be</w:t>
      </w:r>
      <w:r w:rsidR="00E1728C">
        <w:t xml:space="preserve"> aimed at</w:t>
      </w:r>
      <w:r w:rsidR="005B0895" w:rsidRPr="005B0895">
        <w:t xml:space="preserve"> hiring new midcareer and eminent professors</w:t>
      </w:r>
      <w:r w:rsidR="00E1728C">
        <w:t xml:space="preserve">, </w:t>
      </w:r>
      <w:r w:rsidR="005B0895" w:rsidRPr="005B0895">
        <w:t>add</w:t>
      </w:r>
      <w:r w:rsidR="00E1728C">
        <w:t>ing</w:t>
      </w:r>
      <w:r w:rsidR="005B0895" w:rsidRPr="005B0895">
        <w:t xml:space="preserve"> new endowed professorships, and upgrad</w:t>
      </w:r>
      <w:r w:rsidR="00E1728C">
        <w:t>ing</w:t>
      </w:r>
      <w:r w:rsidR="005B0895" w:rsidRPr="005B0895">
        <w:t xml:space="preserve"> and add</w:t>
      </w:r>
      <w:r w:rsidR="00E1728C">
        <w:t>ing</w:t>
      </w:r>
      <w:r w:rsidR="005B0895" w:rsidRPr="005B0895">
        <w:t xml:space="preserve"> facilities</w:t>
      </w:r>
      <w:r w:rsidR="005B0895">
        <w:t>.</w:t>
      </w:r>
    </w:p>
    <w:p w:rsidR="00571865" w:rsidRDefault="00571865" w:rsidP="00571865">
      <w:r>
        <w:t xml:space="preserve">The </w:t>
      </w:r>
      <w:r w:rsidR="00562CE4">
        <w:t xml:space="preserve">UF libraries </w:t>
      </w:r>
      <w:r>
        <w:t>form the largest information resource system in the state</w:t>
      </w:r>
      <w:r w:rsidR="001A5660">
        <w:t>, c</w:t>
      </w:r>
      <w:r>
        <w:t>onsist</w:t>
      </w:r>
      <w:r w:rsidR="00A22EAB">
        <w:t>ing</w:t>
      </w:r>
      <w:r>
        <w:t xml:space="preserve"> of seven libraries; six are in the system known as the George A. Smathers Libraries. </w:t>
      </w:r>
      <w:r w:rsidR="00D3435D">
        <w:t xml:space="preserve">These </w:t>
      </w:r>
      <w:r w:rsidR="00264F9C" w:rsidRPr="00264F9C">
        <w:t xml:space="preserve">six libraries </w:t>
      </w:r>
      <w:r w:rsidR="00D3435D">
        <w:t xml:space="preserve">include the Health Science Center Libraries (HSCL).  </w:t>
      </w:r>
      <w:r w:rsidR="001A5660">
        <w:t xml:space="preserve">The </w:t>
      </w:r>
      <w:r w:rsidR="001A5660" w:rsidRPr="001A5660">
        <w:t>University of Florida Legal Information Center</w:t>
      </w:r>
      <w:r w:rsidR="001A5660">
        <w:t xml:space="preserve"> reports through the College of Law.  </w:t>
      </w:r>
      <w:r>
        <w:t>The Smathers Libraries are a member of the Association of Research Libraries (ARL)</w:t>
      </w:r>
      <w:r w:rsidR="00E1728C">
        <w:t xml:space="preserve"> and other </w:t>
      </w:r>
      <w:r w:rsidR="00AF5FFE">
        <w:t xml:space="preserve">distinguished </w:t>
      </w:r>
      <w:r w:rsidR="00E1728C">
        <w:t>associations.</w:t>
      </w:r>
    </w:p>
    <w:p w:rsidR="00571865" w:rsidRDefault="00571865" w:rsidP="00571865">
      <w:r>
        <w:t xml:space="preserve">In 2011, </w:t>
      </w:r>
      <w:r w:rsidR="00D3435D">
        <w:t>UF</w:t>
      </w:r>
      <w:r>
        <w:t xml:space="preserve"> adopted </w:t>
      </w:r>
      <w:r w:rsidR="00D3435D">
        <w:t>Responsibility Centered Management (</w:t>
      </w:r>
      <w:r>
        <w:t>RCM</w:t>
      </w:r>
      <w:r w:rsidR="00D3435D">
        <w:t>)</w:t>
      </w:r>
      <w:r>
        <w:t xml:space="preserve"> </w:t>
      </w:r>
      <w:r w:rsidR="00264F9C">
        <w:t>as the campus budgeting and fiscal management model</w:t>
      </w:r>
      <w:r>
        <w:t xml:space="preserve">.  The fundamental </w:t>
      </w:r>
      <w:r w:rsidR="00D3435D">
        <w:t>premise</w:t>
      </w:r>
      <w:r>
        <w:t xml:space="preserve"> of RCM is to </w:t>
      </w:r>
      <w:r w:rsidR="00264F9C">
        <w:t xml:space="preserve">shift from centralized budgeting to </w:t>
      </w:r>
      <w:r w:rsidR="00562CE4">
        <w:t xml:space="preserve">a system with </w:t>
      </w:r>
      <w:r w:rsidR="00264F9C">
        <w:t xml:space="preserve">responsibility placed </w:t>
      </w:r>
      <w:r w:rsidR="00562CE4">
        <w:t>on</w:t>
      </w:r>
      <w:r w:rsidR="00264F9C">
        <w:t xml:space="preserve"> the colleges for managing and expanding their revenue.  </w:t>
      </w:r>
      <w:r w:rsidR="007A01A0">
        <w:t xml:space="preserve">Under RCM, the </w:t>
      </w:r>
      <w:r w:rsidR="00600798">
        <w:t>U</w:t>
      </w:r>
      <w:r w:rsidR="007A01A0">
        <w:t xml:space="preserve">niversity’s colleges became Responsibility Centers and the Libraries became one of the numerous Support Units (non-revenue generating units primarily providing services to Responsibility Centers).  </w:t>
      </w:r>
      <w:r w:rsidR="00600798">
        <w:t>Most U</w:t>
      </w:r>
      <w:r w:rsidR="00562CE4">
        <w:t>niversity</w:t>
      </w:r>
      <w:r>
        <w:t xml:space="preserve"> revenues are allocated to Responsibility Centers </w:t>
      </w:r>
      <w:r w:rsidR="00A22EAB">
        <w:t>which</w:t>
      </w:r>
      <w:r>
        <w:t xml:space="preserve"> must </w:t>
      </w:r>
      <w:r w:rsidR="00126F1C">
        <w:t>fund</w:t>
      </w:r>
      <w:r w:rsidR="00126F1C" w:rsidRPr="00264F9C">
        <w:t xml:space="preserve"> </w:t>
      </w:r>
      <w:r w:rsidR="00126F1C">
        <w:t xml:space="preserve">the </w:t>
      </w:r>
      <w:r w:rsidR="000D43F1">
        <w:t>direct expense</w:t>
      </w:r>
      <w:r w:rsidR="001A5660">
        <w:t>s</w:t>
      </w:r>
      <w:r w:rsidR="000D43F1">
        <w:t xml:space="preserve"> for their colleges, </w:t>
      </w:r>
      <w:r w:rsidR="001A5660">
        <w:t>such as</w:t>
      </w:r>
      <w:r w:rsidR="000D43F1">
        <w:t xml:space="preserve"> salaries for </w:t>
      </w:r>
      <w:r w:rsidR="00600798">
        <w:t>college</w:t>
      </w:r>
      <w:r w:rsidR="000D43F1">
        <w:t xml:space="preserve"> staff, and</w:t>
      </w:r>
      <w:r w:rsidR="00126F1C">
        <w:t xml:space="preserve"> pay</w:t>
      </w:r>
      <w:r w:rsidR="000D43F1">
        <w:t xml:space="preserve"> </w:t>
      </w:r>
      <w:r w:rsidR="00264F9C" w:rsidRPr="00C23563">
        <w:rPr>
          <w:i/>
        </w:rPr>
        <w:t>taxes</w:t>
      </w:r>
      <w:r w:rsidR="00264F9C">
        <w:t xml:space="preserve"> </w:t>
      </w:r>
      <w:r>
        <w:t>for the services provided to the</w:t>
      </w:r>
      <w:r w:rsidR="00600798">
        <w:t xml:space="preserve"> college</w:t>
      </w:r>
      <w:r w:rsidR="00264F9C">
        <w:t xml:space="preserve"> by campus entities like the </w:t>
      </w:r>
      <w:r w:rsidR="00A22EAB">
        <w:t>L</w:t>
      </w:r>
      <w:r w:rsidR="00264F9C">
        <w:t xml:space="preserve">ibraries, physical plant, academic advising, campus human resources and various other offices and officials.  </w:t>
      </w:r>
      <w:r w:rsidR="000D43F1">
        <w:t>The colleges must balance the revenues</w:t>
      </w:r>
      <w:r w:rsidR="00126F1C">
        <w:t xml:space="preserve"> </w:t>
      </w:r>
      <w:r w:rsidR="00600798">
        <w:t xml:space="preserve">generated </w:t>
      </w:r>
      <w:r w:rsidR="00126F1C">
        <w:t>(which may increase or decrease due to factors within and beyond their control)</w:t>
      </w:r>
      <w:r w:rsidR="000D43F1">
        <w:t xml:space="preserve"> with the</w:t>
      </w:r>
      <w:r w:rsidR="00126F1C">
        <w:t>se</w:t>
      </w:r>
      <w:r w:rsidR="000D43F1">
        <w:t xml:space="preserve"> direct and indirect expenses</w:t>
      </w:r>
      <w:r w:rsidR="00126F1C">
        <w:t xml:space="preserve"> and at least break even</w:t>
      </w:r>
      <w:r w:rsidR="007A01A0">
        <w:t xml:space="preserve"> every year</w:t>
      </w:r>
      <w:r w:rsidR="000D43F1">
        <w:t>.  T</w:t>
      </w:r>
      <w:r w:rsidR="00FB6962">
        <w:t xml:space="preserve">hrough </w:t>
      </w:r>
      <w:r w:rsidR="00600798">
        <w:t>a U</w:t>
      </w:r>
      <w:r w:rsidR="00562CE4">
        <w:t>niversity</w:t>
      </w:r>
      <w:r w:rsidR="00FB6962">
        <w:t xml:space="preserve"> RCM Budget Review Committee</w:t>
      </w:r>
      <w:r w:rsidR="00AF5FFE">
        <w:t xml:space="preserve"> (largely</w:t>
      </w:r>
      <w:r w:rsidR="00FB6962">
        <w:t xml:space="preserve"> comprised of college budget officers</w:t>
      </w:r>
      <w:r w:rsidR="00AF5FFE">
        <w:t xml:space="preserve"> appointed by the</w:t>
      </w:r>
      <w:r w:rsidR="00600798">
        <w:t xml:space="preserve"> respective college</w:t>
      </w:r>
      <w:r w:rsidR="00AF5FFE">
        <w:t xml:space="preserve"> deans)</w:t>
      </w:r>
      <w:r w:rsidR="003023C8">
        <w:t>,</w:t>
      </w:r>
      <w:r w:rsidR="00FB6962">
        <w:t xml:space="preserve"> </w:t>
      </w:r>
      <w:r w:rsidR="00126F1C">
        <w:t xml:space="preserve">the colleges </w:t>
      </w:r>
      <w:r w:rsidR="00FB6962">
        <w:t xml:space="preserve">make recommendations to the </w:t>
      </w:r>
      <w:r w:rsidR="00600798">
        <w:t>U</w:t>
      </w:r>
      <w:r w:rsidR="00126F1C">
        <w:t>niversity a</w:t>
      </w:r>
      <w:r w:rsidR="00FB6962">
        <w:t>dministration about Support Center funding</w:t>
      </w:r>
      <w:r w:rsidR="00126F1C">
        <w:t xml:space="preserve"> based on the services and resources, new or continuing, they </w:t>
      </w:r>
      <w:r w:rsidR="00562CE4">
        <w:t>deem worthwhile</w:t>
      </w:r>
      <w:r w:rsidR="00FB6962">
        <w:t>.</w:t>
      </w:r>
      <w:r>
        <w:t xml:space="preserve">  RCM ideally permits decision-</w:t>
      </w:r>
      <w:r w:rsidR="00F231F6">
        <w:t>making where</w:t>
      </w:r>
      <w:r>
        <w:t xml:space="preserve"> </w:t>
      </w:r>
      <w:r w:rsidR="00562CE4">
        <w:t>outcomes of strategic value to the</w:t>
      </w:r>
      <w:r>
        <w:t xml:space="preserve"> </w:t>
      </w:r>
      <w:r w:rsidR="00A22EAB">
        <w:t>U</w:t>
      </w:r>
      <w:r>
        <w:t xml:space="preserve">niversity </w:t>
      </w:r>
      <w:r w:rsidR="00126F1C">
        <w:t>are given great</w:t>
      </w:r>
      <w:r w:rsidR="001A5660">
        <w:t>er</w:t>
      </w:r>
      <w:r w:rsidR="00126F1C">
        <w:t xml:space="preserve"> weight </w:t>
      </w:r>
      <w:r w:rsidR="00600798">
        <w:t>and the achievement of the U</w:t>
      </w:r>
      <w:r>
        <w:t>niversity’s goals supersede</w:t>
      </w:r>
      <w:r w:rsidR="00562CE4">
        <w:t>s</w:t>
      </w:r>
      <w:r>
        <w:t xml:space="preserve"> any unit’s individual </w:t>
      </w:r>
      <w:r w:rsidR="00562CE4">
        <w:t>self-interest</w:t>
      </w:r>
      <w:r w:rsidR="00AF5FFE">
        <w:t>;</w:t>
      </w:r>
      <w:r>
        <w:t xml:space="preserve"> however, any funding allocated to a Support Unit, like the </w:t>
      </w:r>
      <w:r w:rsidR="00D3435D">
        <w:t>L</w:t>
      </w:r>
      <w:r>
        <w:t xml:space="preserve">ibraries, </w:t>
      </w:r>
      <w:r w:rsidR="00D3435D">
        <w:t>results in</w:t>
      </w:r>
      <w:r>
        <w:t xml:space="preserve"> less discretionary funding for the Responsibility Center.</w:t>
      </w:r>
    </w:p>
    <w:p w:rsidR="00742F43" w:rsidRDefault="00FB6962" w:rsidP="00571865">
      <w:r>
        <w:t xml:space="preserve">RCM was implemented at UF at a time of severe budget reductions, including steep cuts in state appropriations </w:t>
      </w:r>
      <w:r w:rsidR="003023C8">
        <w:t>which are</w:t>
      </w:r>
      <w:r>
        <w:t xml:space="preserve"> </w:t>
      </w:r>
      <w:r w:rsidR="00126F1C">
        <w:t xml:space="preserve">a </w:t>
      </w:r>
      <w:r w:rsidR="003023C8">
        <w:t>critical</w:t>
      </w:r>
      <w:r w:rsidR="00126F1C">
        <w:t xml:space="preserve"> funding source for the colleges and </w:t>
      </w:r>
      <w:r>
        <w:t xml:space="preserve">the primary source of funding for the </w:t>
      </w:r>
      <w:r w:rsidR="00A22EAB">
        <w:t xml:space="preserve">Smathers </w:t>
      </w:r>
      <w:r>
        <w:t xml:space="preserve">Libraries.  </w:t>
      </w:r>
      <w:r w:rsidR="00571865">
        <w:t xml:space="preserve">The </w:t>
      </w:r>
      <w:r w:rsidR="00562CE4">
        <w:t xml:space="preserve">UF libraries </w:t>
      </w:r>
      <w:r w:rsidR="00571865">
        <w:t xml:space="preserve">entered RCM chronically under-funded and facing escalating materials costs. </w:t>
      </w:r>
      <w:r w:rsidRPr="00742F43">
        <w:t>Since July 1, 2009, the Smathers Libraries have experienced $2.4 million in recurring funding cuts and $700,000 in one</w:t>
      </w:r>
      <w:r w:rsidR="001A5660">
        <w:t>-</w:t>
      </w:r>
      <w:r w:rsidRPr="00742F43">
        <w:t>time cuts.</w:t>
      </w:r>
      <w:r w:rsidRPr="00FB6962">
        <w:t xml:space="preserve"> </w:t>
      </w:r>
      <w:r w:rsidR="00E1728C">
        <w:t>M</w:t>
      </w:r>
      <w:r w:rsidRPr="00FB6962">
        <w:t xml:space="preserve">aterials costs have increased by an average of 5% per year and </w:t>
      </w:r>
      <w:r w:rsidR="007A01A0">
        <w:t>this has</w:t>
      </w:r>
      <w:r w:rsidRPr="00FB6962">
        <w:t xml:space="preserve"> resulted in a </w:t>
      </w:r>
      <w:r w:rsidR="007A01A0">
        <w:t xml:space="preserve">purchasing capacity </w:t>
      </w:r>
      <w:r w:rsidRPr="00FB6962">
        <w:t xml:space="preserve">gap of $2.6 million from the </w:t>
      </w:r>
      <w:r w:rsidR="001A5660">
        <w:t xml:space="preserve">funding </w:t>
      </w:r>
      <w:r w:rsidRPr="00FB6962">
        <w:t xml:space="preserve">level in FY 2008. </w:t>
      </w:r>
    </w:p>
    <w:p w:rsidR="003C7A87" w:rsidRDefault="003C7A87" w:rsidP="00571865">
      <w:r w:rsidRPr="003C7A87">
        <w:t xml:space="preserve">RCM, </w:t>
      </w:r>
      <w:r w:rsidR="007A01A0">
        <w:t xml:space="preserve">combined with </w:t>
      </w:r>
      <w:r w:rsidRPr="003C7A87">
        <w:t xml:space="preserve">decreased </w:t>
      </w:r>
      <w:r w:rsidR="00600798">
        <w:t>U</w:t>
      </w:r>
      <w:r w:rsidR="00562CE4">
        <w:t>niversity</w:t>
      </w:r>
      <w:r w:rsidRPr="003C7A87">
        <w:t xml:space="preserve"> appropriations and lost purchasing power for library materials ha</w:t>
      </w:r>
      <w:r w:rsidR="007A01A0">
        <w:t>s</w:t>
      </w:r>
      <w:r w:rsidRPr="003C7A87">
        <w:t xml:space="preserve"> increased pressure (internally and externally) to assess library funding and expenditures</w:t>
      </w:r>
      <w:r>
        <w:t xml:space="preserve">.  </w:t>
      </w:r>
      <w:r w:rsidR="00571865">
        <w:t xml:space="preserve">In this environment, the </w:t>
      </w:r>
      <w:r w:rsidR="00D3435D">
        <w:t>L</w:t>
      </w:r>
      <w:r w:rsidR="00571865">
        <w:t xml:space="preserve">ibraries </w:t>
      </w:r>
      <w:r w:rsidR="00FB6962">
        <w:t>need</w:t>
      </w:r>
      <w:r w:rsidR="003023C8">
        <w:t>ed</w:t>
      </w:r>
      <w:r w:rsidR="00FB6962">
        <w:t xml:space="preserve"> to</w:t>
      </w:r>
      <w:r w:rsidR="00571865">
        <w:t xml:space="preserve"> develop effective methods for </w:t>
      </w:r>
      <w:r w:rsidR="00562CE4">
        <w:t xml:space="preserve">analyzing </w:t>
      </w:r>
      <w:r w:rsidR="007A01A0">
        <w:t xml:space="preserve">and </w:t>
      </w:r>
      <w:r w:rsidR="00571865">
        <w:t xml:space="preserve">communicating its budget circumstances and </w:t>
      </w:r>
      <w:r w:rsidR="007A01A0">
        <w:t xml:space="preserve">for </w:t>
      </w:r>
      <w:r w:rsidR="00AF5FFE">
        <w:t>determining</w:t>
      </w:r>
      <w:r w:rsidR="00571865">
        <w:t xml:space="preserve"> </w:t>
      </w:r>
      <w:r w:rsidR="00562CE4">
        <w:t xml:space="preserve">what </w:t>
      </w:r>
      <w:r w:rsidR="00571865">
        <w:t>appropriate funding levels should be in order to adequately serve UF’s faculty, students and researchers.</w:t>
      </w:r>
      <w:r w:rsidR="00742F43">
        <w:t xml:space="preserve">  </w:t>
      </w:r>
    </w:p>
    <w:p w:rsidR="003C7A87" w:rsidRPr="00C12455" w:rsidRDefault="003C7A87" w:rsidP="00571865">
      <w:pPr>
        <w:rPr>
          <w:b/>
          <w:sz w:val="28"/>
          <w:szCs w:val="28"/>
        </w:rPr>
      </w:pPr>
      <w:r w:rsidRPr="00C12455">
        <w:rPr>
          <w:b/>
          <w:sz w:val="28"/>
          <w:szCs w:val="28"/>
        </w:rPr>
        <w:t>Findings</w:t>
      </w:r>
    </w:p>
    <w:p w:rsidR="003C7A87" w:rsidRDefault="00571865" w:rsidP="003C7A87">
      <w:r>
        <w:lastRenderedPageBreak/>
        <w:t xml:space="preserve">The </w:t>
      </w:r>
      <w:r w:rsidR="00D3435D">
        <w:t>Smathers Libraries</w:t>
      </w:r>
      <w:r>
        <w:t xml:space="preserve"> have engaged in </w:t>
      </w:r>
      <w:r w:rsidR="00562CE4">
        <w:t>repeated</w:t>
      </w:r>
      <w:r>
        <w:t xml:space="preserve"> </w:t>
      </w:r>
      <w:r w:rsidR="00562CE4">
        <w:t xml:space="preserve">and varied </w:t>
      </w:r>
      <w:r w:rsidR="003023C8">
        <w:t>analyses</w:t>
      </w:r>
      <w:r>
        <w:t xml:space="preserve"> of how the resources of the </w:t>
      </w:r>
      <w:r w:rsidR="003023C8">
        <w:t>L</w:t>
      </w:r>
      <w:r>
        <w:t xml:space="preserve">ibraries and the demands of </w:t>
      </w:r>
      <w:r w:rsidR="00D3435D">
        <w:t>UF</w:t>
      </w:r>
      <w:r>
        <w:t xml:space="preserve"> compare to peer institutions</w:t>
      </w:r>
      <w:r w:rsidR="00562CE4">
        <w:t>.  Data</w:t>
      </w:r>
      <w:r>
        <w:t xml:space="preserve"> from</w:t>
      </w:r>
      <w:r w:rsidR="00AF5FFE">
        <w:t xml:space="preserve"> the</w:t>
      </w:r>
      <w:r>
        <w:t xml:space="preserve"> </w:t>
      </w:r>
      <w:r w:rsidR="00562CE4" w:rsidRPr="00562CE4">
        <w:t xml:space="preserve">National Center for Education Statistics (NCES) </w:t>
      </w:r>
      <w:r>
        <w:t xml:space="preserve">Integrated Postsecondary Education Data System (IPEDS) </w:t>
      </w:r>
      <w:r w:rsidR="00562CE4">
        <w:t>has been used as measures of</w:t>
      </w:r>
      <w:r w:rsidR="00562CE4" w:rsidRPr="00562CE4">
        <w:t xml:space="preserve"> university characteristics that correlate with </w:t>
      </w:r>
      <w:r w:rsidR="007A01A0">
        <w:t>demand</w:t>
      </w:r>
      <w:r w:rsidR="00562CE4" w:rsidRPr="00562CE4">
        <w:t xml:space="preserve"> for library resources </w:t>
      </w:r>
      <w:r w:rsidR="00562CE4">
        <w:t xml:space="preserve">and </w:t>
      </w:r>
      <w:r w:rsidR="00562CE4" w:rsidRPr="00562CE4">
        <w:t>services</w:t>
      </w:r>
      <w:r w:rsidR="007A01A0">
        <w:t xml:space="preserve"> (e.g. number of faculty) and university resources (e.g. revenue)</w:t>
      </w:r>
      <w:r w:rsidR="00562CE4">
        <w:t>.</w:t>
      </w:r>
      <w:r>
        <w:t xml:space="preserve"> </w:t>
      </w:r>
      <w:r w:rsidR="00562CE4">
        <w:t xml:space="preserve"> </w:t>
      </w:r>
      <w:r>
        <w:t>ARL Statistics</w:t>
      </w:r>
      <w:r w:rsidR="00562CE4">
        <w:t xml:space="preserve"> have been used for measures of </w:t>
      </w:r>
      <w:r>
        <w:t>library resources</w:t>
      </w:r>
      <w:r w:rsidR="003C7A87">
        <w:t xml:space="preserve"> </w:t>
      </w:r>
      <w:r w:rsidR="001A5660">
        <w:t xml:space="preserve">including funding, </w:t>
      </w:r>
      <w:r w:rsidR="003C7A87">
        <w:t>materials and staff</w:t>
      </w:r>
      <w:r w:rsidR="001A5660">
        <w:t>ing.</w:t>
      </w:r>
    </w:p>
    <w:p w:rsidR="00571865" w:rsidRDefault="003C7A87" w:rsidP="00571865">
      <w:r>
        <w:t xml:space="preserve">This analysis has </w:t>
      </w:r>
      <w:r w:rsidR="00562CE4">
        <w:t xml:space="preserve">consistently </w:t>
      </w:r>
      <w:r w:rsidR="00D66402">
        <w:t>showed</w:t>
      </w:r>
      <w:r w:rsidR="00562CE4">
        <w:t>, across methodologies, that</w:t>
      </w:r>
      <w:r>
        <w:t xml:space="preserve"> the </w:t>
      </w:r>
      <w:r w:rsidR="00571865">
        <w:t xml:space="preserve">scope of the </w:t>
      </w:r>
      <w:r w:rsidR="00562CE4">
        <w:t xml:space="preserve">university </w:t>
      </w:r>
      <w:r w:rsidR="00571865">
        <w:t xml:space="preserve">population and programs at UF are significantly above average for peer institutions </w:t>
      </w:r>
      <w:r w:rsidR="007A01A0">
        <w:t>which suggests</w:t>
      </w:r>
      <w:r w:rsidR="00571865">
        <w:t xml:space="preserve"> </w:t>
      </w:r>
      <w:r w:rsidR="00EF71B4">
        <w:t xml:space="preserve">comparably </w:t>
      </w:r>
      <w:r w:rsidR="00571865">
        <w:t>higher demand.  Incongruously</w:t>
      </w:r>
      <w:r w:rsidR="00EF71B4">
        <w:t>,</w:t>
      </w:r>
      <w:r w:rsidR="00571865">
        <w:t xml:space="preserve"> the fiscal and human resources of the </w:t>
      </w:r>
      <w:r w:rsidR="00562CE4">
        <w:t xml:space="preserve">UF </w:t>
      </w:r>
      <w:r w:rsidR="00571865">
        <w:t xml:space="preserve">libraries are significantly below </w:t>
      </w:r>
      <w:r w:rsidR="007A01A0">
        <w:t xml:space="preserve">the </w:t>
      </w:r>
      <w:r w:rsidR="00571865">
        <w:t>average</w:t>
      </w:r>
      <w:r w:rsidR="007A01A0">
        <w:t xml:space="preserve"> for library systems at peer institutions</w:t>
      </w:r>
      <w:r w:rsidR="00571865">
        <w:t xml:space="preserve">. Said differently, there is a considerable and statistically significant gap between the scale of UF </w:t>
      </w:r>
      <w:r w:rsidR="007D228C">
        <w:t>demand</w:t>
      </w:r>
      <w:r w:rsidR="00571865">
        <w:t>, and the resources of the library system</w:t>
      </w:r>
      <w:r w:rsidR="00562CE4">
        <w:t>.</w:t>
      </w:r>
    </w:p>
    <w:p w:rsidR="00C12455" w:rsidRDefault="003C7A87" w:rsidP="00A80493">
      <w:r w:rsidRPr="006B5B02">
        <w:rPr>
          <w:b/>
        </w:rPr>
        <w:t>Linear Regression Analysis</w:t>
      </w:r>
    </w:p>
    <w:p w:rsidR="00A80493" w:rsidRDefault="003023C8" w:rsidP="00A80493">
      <w:r>
        <w:t>Linear r</w:t>
      </w:r>
      <w:r w:rsidRPr="003023C8">
        <w:t xml:space="preserve">egression </w:t>
      </w:r>
      <w:r>
        <w:t>a</w:t>
      </w:r>
      <w:r w:rsidRPr="003023C8">
        <w:t xml:space="preserve">nalysis </w:t>
      </w:r>
      <w:r>
        <w:t>is a</w:t>
      </w:r>
      <w:r w:rsidR="00C23563">
        <w:t xml:space="preserve"> statistical technique used to </w:t>
      </w:r>
      <w:r w:rsidR="003C7A87">
        <w:t>model</w:t>
      </w:r>
      <w:r w:rsidR="00C23563">
        <w:t xml:space="preserve"> </w:t>
      </w:r>
      <w:r w:rsidR="003C7A87">
        <w:t>the relationship between two variables:</w:t>
      </w:r>
      <w:r w:rsidR="00C23563">
        <w:t xml:space="preserve"> independent </w:t>
      </w:r>
      <w:r w:rsidR="003C7A87">
        <w:t>variable</w:t>
      </w:r>
      <w:r w:rsidR="00C23563">
        <w:t>s (</w:t>
      </w:r>
      <w:r w:rsidR="003C7A87">
        <w:t xml:space="preserve">e.g. university budget) </w:t>
      </w:r>
      <w:r w:rsidR="00C23563">
        <w:t>and d</w:t>
      </w:r>
      <w:r w:rsidR="003C7A87">
        <w:t xml:space="preserve">ependent </w:t>
      </w:r>
      <w:r w:rsidR="00C23563">
        <w:t xml:space="preserve">or response </w:t>
      </w:r>
      <w:r w:rsidR="003C7A87">
        <w:t>variable</w:t>
      </w:r>
      <w:r w:rsidR="007C5B33">
        <w:t>s</w:t>
      </w:r>
      <w:r w:rsidR="00C23563">
        <w:t xml:space="preserve"> </w:t>
      </w:r>
      <w:r w:rsidR="003C7A87">
        <w:t>(e.g. library budget)</w:t>
      </w:r>
      <w:r w:rsidR="00C23563">
        <w:t xml:space="preserve">.  </w:t>
      </w:r>
      <w:r w:rsidRPr="003023C8">
        <w:t>Linear regression</w:t>
      </w:r>
      <w:r w:rsidR="00C23563">
        <w:t xml:space="preserve"> </w:t>
      </w:r>
      <w:r w:rsidR="007C5B33">
        <w:t xml:space="preserve">is used </w:t>
      </w:r>
      <w:r w:rsidR="00C23563">
        <w:t xml:space="preserve">to estimate the causal effect of the independent variables </w:t>
      </w:r>
      <w:r w:rsidR="007C5B33">
        <w:t>on</w:t>
      </w:r>
      <w:r w:rsidR="00C23563">
        <w:t xml:space="preserve"> the </w:t>
      </w:r>
      <w:r w:rsidR="00A80493">
        <w:t>dependent</w:t>
      </w:r>
      <w:r w:rsidR="00C23563">
        <w:t xml:space="preserve"> variable. </w:t>
      </w:r>
      <w:r w:rsidR="00A80493">
        <w:t xml:space="preserve"> </w:t>
      </w:r>
      <w:r w:rsidR="007D228C">
        <w:t xml:space="preserve">In instances where this effect exists </w:t>
      </w:r>
      <w:r w:rsidR="007C5B33">
        <w:t>t</w:t>
      </w:r>
      <w:r w:rsidR="00A80493">
        <w:t xml:space="preserve">he model may serve to predict </w:t>
      </w:r>
      <w:r w:rsidR="00C12455">
        <w:t>one</w:t>
      </w:r>
      <w:r w:rsidR="00A80493">
        <w:t xml:space="preserve"> variable if the other variable is known.</w:t>
      </w:r>
    </w:p>
    <w:p w:rsidR="003C7A87" w:rsidRDefault="00A80493" w:rsidP="003C7A87">
      <w:r>
        <w:t>T</w:t>
      </w:r>
      <w:r w:rsidR="00C23563">
        <w:t>he statistical significance of the relationship between the independent variable and depen</w:t>
      </w:r>
      <w:r w:rsidR="00C23563" w:rsidRPr="00C23563">
        <w:t xml:space="preserve">dent variable, that is, the degree of confidence </w:t>
      </w:r>
      <w:r w:rsidR="007C5B33">
        <w:t>i</w:t>
      </w:r>
      <w:r w:rsidR="00C23563" w:rsidRPr="00C23563">
        <w:t>n how the true relationship is close to the estimated statistical relationship</w:t>
      </w:r>
      <w:r w:rsidR="007C5B33">
        <w:t xml:space="preserve"> is a key determination in interpreting regression analysis. (1) </w:t>
      </w:r>
      <w:r>
        <w:t>A measure of this statistical significance i</w:t>
      </w:r>
      <w:r w:rsidR="007C5B33">
        <w:t>s</w:t>
      </w:r>
      <w:r>
        <w:t xml:space="preserve"> r</w:t>
      </w:r>
      <w:r w:rsidR="003C7A87">
        <w:t xml:space="preserve">-squared or </w:t>
      </w:r>
      <w:r>
        <w:t xml:space="preserve">the </w:t>
      </w:r>
      <w:r w:rsidR="003C7A87">
        <w:t>Coefficient of Determination</w:t>
      </w:r>
      <w:r>
        <w:t xml:space="preserve">.  </w:t>
      </w:r>
      <w:r w:rsidR="007D228C">
        <w:t xml:space="preserve">The </w:t>
      </w:r>
      <w:r w:rsidR="007D228C" w:rsidRPr="007D228C">
        <w:t>r-squared</w:t>
      </w:r>
      <w:r>
        <w:t xml:space="preserve"> measure i</w:t>
      </w:r>
      <w:r w:rsidR="003C7A87">
        <w:t>ndicates the proportion of the change in one variable that is predictable from another</w:t>
      </w:r>
      <w:r>
        <w:t xml:space="preserve">.  Said differently, r-squared represents the percent of variation in a variable that can be explained by the relationship between the two.  R-squared ranges from zero to 1.0 and the larger the number the greater the statistical significance of the estimated relationship. </w:t>
      </w:r>
    </w:p>
    <w:p w:rsidR="00C12455" w:rsidRDefault="007D228C" w:rsidP="00A80493">
      <w:r w:rsidRPr="007D228C">
        <w:rPr>
          <w:b/>
        </w:rPr>
        <w:t>Peers</w:t>
      </w:r>
      <w:r>
        <w:t xml:space="preserve"> </w:t>
      </w:r>
    </w:p>
    <w:p w:rsidR="00A80493" w:rsidRDefault="007D228C" w:rsidP="00A80493">
      <w:r>
        <w:t>Comparisons required that the Libraries identify peer groups.  T</w:t>
      </w:r>
      <w:r w:rsidR="00114452">
        <w:t>hree g</w:t>
      </w:r>
      <w:r w:rsidR="00A80493">
        <w:t xml:space="preserve">roups of AAU </w:t>
      </w:r>
      <w:r w:rsidR="00114452">
        <w:t>p</w:t>
      </w:r>
      <w:r w:rsidR="00A80493">
        <w:t xml:space="preserve">ublic </w:t>
      </w:r>
      <w:r w:rsidR="00114452">
        <w:t>u</w:t>
      </w:r>
      <w:r w:rsidR="00A80493">
        <w:t>niversities</w:t>
      </w:r>
      <w:r w:rsidR="00114452">
        <w:t xml:space="preserve"> that comprise relevant peer groups for UF</w:t>
      </w:r>
      <w:r>
        <w:t xml:space="preserve"> were used initially</w:t>
      </w:r>
      <w:r w:rsidR="00114452">
        <w:t>.  G</w:t>
      </w:r>
      <w:r w:rsidR="00A80493">
        <w:t>roup A</w:t>
      </w:r>
      <w:r w:rsidR="00114452">
        <w:t xml:space="preserve"> is comprised</w:t>
      </w:r>
      <w:r w:rsidR="00A80493">
        <w:t xml:space="preserve"> </w:t>
      </w:r>
      <w:r w:rsidR="00114452">
        <w:t xml:space="preserve">of </w:t>
      </w:r>
      <w:r w:rsidR="007C5B33">
        <w:t>six</w:t>
      </w:r>
      <w:r w:rsidR="00A80493">
        <w:t xml:space="preserve"> </w:t>
      </w:r>
      <w:r w:rsidR="00114452">
        <w:t xml:space="preserve">comparable </w:t>
      </w:r>
      <w:r w:rsidR="007C5B33">
        <w:t>u</w:t>
      </w:r>
      <w:r w:rsidR="00114452">
        <w:t>niversities from the t</w:t>
      </w:r>
      <w:r w:rsidR="00A80493">
        <w:t xml:space="preserve">op 11 </w:t>
      </w:r>
      <w:r w:rsidR="00114452" w:rsidRPr="001A5660">
        <w:rPr>
          <w:i/>
        </w:rPr>
        <w:t>U.S. News &amp; World Report</w:t>
      </w:r>
      <w:r w:rsidR="00A80493">
        <w:t xml:space="preserve"> </w:t>
      </w:r>
      <w:r w:rsidR="00114452">
        <w:t>public universities</w:t>
      </w:r>
      <w:r w:rsidR="007C5B33">
        <w:t xml:space="preserve"> in </w:t>
      </w:r>
      <w:r w:rsidR="007C5B33" w:rsidRPr="007C5B33">
        <w:rPr>
          <w:highlight w:val="yellow"/>
        </w:rPr>
        <w:t>2013</w:t>
      </w:r>
      <w:r w:rsidR="00114452">
        <w:t>.  These represent a</w:t>
      </w:r>
      <w:r w:rsidR="00A80493">
        <w:t xml:space="preserve">spirational </w:t>
      </w:r>
      <w:r w:rsidR="00114452">
        <w:t>p</w:t>
      </w:r>
      <w:r w:rsidR="00A80493">
        <w:t>eers</w:t>
      </w:r>
      <w:r w:rsidR="00114452">
        <w:t xml:space="preserve"> as UF was ranked </w:t>
      </w:r>
      <w:r w:rsidR="00114452" w:rsidRPr="007C5B33">
        <w:rPr>
          <w:highlight w:val="yellow"/>
        </w:rPr>
        <w:t>15</w:t>
      </w:r>
      <w:r w:rsidR="00114452" w:rsidRPr="007C5B33">
        <w:rPr>
          <w:highlight w:val="yellow"/>
          <w:vertAlign w:val="superscript"/>
        </w:rPr>
        <w:t>t</w:t>
      </w:r>
      <w:r w:rsidR="00114452" w:rsidRPr="00114452">
        <w:rPr>
          <w:vertAlign w:val="superscript"/>
        </w:rPr>
        <w:t>h</w:t>
      </w:r>
      <w:r w:rsidR="00114452">
        <w:t xml:space="preserve"> and UF aspires to join</w:t>
      </w:r>
      <w:r w:rsidR="00114452" w:rsidRPr="00114452">
        <w:t xml:space="preserve"> the </w:t>
      </w:r>
      <w:r w:rsidR="00114452">
        <w:t xml:space="preserve">ranks of the </w:t>
      </w:r>
      <w:r w:rsidR="00114452" w:rsidRPr="00114452">
        <w:t>top public universities</w:t>
      </w:r>
      <w:r w:rsidR="00114452">
        <w:t>.  G</w:t>
      </w:r>
      <w:r w:rsidR="00A80493">
        <w:t>roup B</w:t>
      </w:r>
      <w:r w:rsidR="00114452">
        <w:t xml:space="preserve"> represents a broader population:</w:t>
      </w:r>
      <w:r w:rsidR="00A80493">
        <w:t xml:space="preserve">  </w:t>
      </w:r>
      <w:r w:rsidR="007C5B33">
        <w:t>ten</w:t>
      </w:r>
      <w:r w:rsidR="00A80493">
        <w:t xml:space="preserve"> of </w:t>
      </w:r>
      <w:r w:rsidR="00114452">
        <w:t>the t</w:t>
      </w:r>
      <w:r w:rsidR="00A80493">
        <w:t xml:space="preserve">op 25 </w:t>
      </w:r>
      <w:r w:rsidR="00114452" w:rsidRPr="001A5660">
        <w:rPr>
          <w:i/>
        </w:rPr>
        <w:t>U.S. News &amp; World Report</w:t>
      </w:r>
      <w:r w:rsidR="00114452" w:rsidRPr="00114452">
        <w:t xml:space="preserve"> public universities</w:t>
      </w:r>
      <w:r w:rsidR="00114452">
        <w:t>, all of which are c</w:t>
      </w:r>
      <w:r w:rsidR="00A80493">
        <w:t xml:space="preserve">omprehensive </w:t>
      </w:r>
      <w:r w:rsidR="00114452">
        <w:t>u</w:t>
      </w:r>
      <w:r w:rsidR="00A80493">
        <w:t xml:space="preserve">niversities with </w:t>
      </w:r>
      <w:r w:rsidR="00114452">
        <w:t>l</w:t>
      </w:r>
      <w:r w:rsidR="00A80493">
        <w:t xml:space="preserve">aw </w:t>
      </w:r>
      <w:r w:rsidR="00114452">
        <w:t>schools and two</w:t>
      </w:r>
      <w:r w:rsidR="00A80493">
        <w:t xml:space="preserve"> or more </w:t>
      </w:r>
      <w:r w:rsidR="00114452">
        <w:t>h</w:t>
      </w:r>
      <w:r w:rsidR="00A80493">
        <w:t xml:space="preserve">ealth </w:t>
      </w:r>
      <w:r w:rsidR="00114452">
        <w:t>c</w:t>
      </w:r>
      <w:r w:rsidR="00A80493">
        <w:t>olleges</w:t>
      </w:r>
      <w:r w:rsidR="00114452">
        <w:t>.  Gr</w:t>
      </w:r>
      <w:r w:rsidR="00A80493">
        <w:t>oup C</w:t>
      </w:r>
      <w:r w:rsidR="00114452">
        <w:t xml:space="preserve"> </w:t>
      </w:r>
      <w:r w:rsidR="001A5660">
        <w:t>results</w:t>
      </w:r>
      <w:r w:rsidR="00114452">
        <w:t xml:space="preserve"> from a list of peers </w:t>
      </w:r>
      <w:r>
        <w:t>provided</w:t>
      </w:r>
      <w:r w:rsidR="00114452">
        <w:t xml:space="preserve"> by</w:t>
      </w:r>
      <w:r w:rsidR="00A80493">
        <w:t xml:space="preserve"> </w:t>
      </w:r>
      <w:r w:rsidR="00600798">
        <w:t>the U</w:t>
      </w:r>
      <w:r>
        <w:t>niversity that had reportedly been used</w:t>
      </w:r>
      <w:r w:rsidR="00114452">
        <w:t xml:space="preserve"> for previous peer co</w:t>
      </w:r>
      <w:r>
        <w:t>mparisons</w:t>
      </w:r>
      <w:r w:rsidR="00114452">
        <w:t>.  Th</w:t>
      </w:r>
      <w:r>
        <w:t>is last group of peers</w:t>
      </w:r>
      <w:r w:rsidR="00114452">
        <w:t xml:space="preserve"> was comprised of distinguished public universit</w:t>
      </w:r>
      <w:r>
        <w:t>ies</w:t>
      </w:r>
      <w:r w:rsidR="00114452">
        <w:t xml:space="preserve">, but the methodology used to identify the specific schools was </w:t>
      </w:r>
      <w:r w:rsidR="007C5B33">
        <w:t>not available</w:t>
      </w:r>
      <w:r w:rsidR="00114452">
        <w:t>.</w:t>
      </w:r>
    </w:p>
    <w:p w:rsidR="00C91E63" w:rsidRDefault="00C91E63">
      <w:pPr>
        <w:rPr>
          <w:b/>
        </w:rPr>
      </w:pPr>
      <w:r>
        <w:rPr>
          <w:b/>
        </w:rPr>
        <w:br w:type="page"/>
      </w:r>
    </w:p>
    <w:p w:rsidR="00C12455" w:rsidRDefault="00C12455" w:rsidP="00A80493">
      <w:r>
        <w:rPr>
          <w:b/>
        </w:rPr>
        <w:lastRenderedPageBreak/>
        <w:t xml:space="preserve">Relationships between </w:t>
      </w:r>
      <w:r w:rsidR="007D228C" w:rsidRPr="00D66402">
        <w:rPr>
          <w:b/>
        </w:rPr>
        <w:t>Libr</w:t>
      </w:r>
      <w:r>
        <w:rPr>
          <w:b/>
        </w:rPr>
        <w:t>ary and University Expenditures</w:t>
      </w:r>
      <w:r w:rsidR="007D228C" w:rsidRPr="00D66402">
        <w:t xml:space="preserve">  </w:t>
      </w:r>
    </w:p>
    <w:p w:rsidR="00A80493" w:rsidRDefault="007D228C" w:rsidP="00A80493">
      <w:r w:rsidRPr="00D66402">
        <w:t>The relationship between library expenditures and university expenditures were compared for the University of Florida and the three peer groups for UF.</w:t>
      </w:r>
      <w:r w:rsidRPr="007D228C">
        <w:t xml:space="preserve">  </w:t>
      </w:r>
      <w:r w:rsidR="007C5B33" w:rsidRPr="007C5B33">
        <w:t xml:space="preserve">Linear regression </w:t>
      </w:r>
      <w:r w:rsidR="007C5B33">
        <w:t xml:space="preserve">analysis </w:t>
      </w:r>
      <w:r w:rsidR="007C5B33" w:rsidRPr="007C5B33">
        <w:t>show</w:t>
      </w:r>
      <w:r w:rsidR="007C5B33">
        <w:t>s</w:t>
      </w:r>
      <w:r w:rsidR="007C5B33" w:rsidRPr="007C5B33">
        <w:t xml:space="preserve"> a positive and predictive relationship between university </w:t>
      </w:r>
      <w:r w:rsidR="007C5B33">
        <w:t xml:space="preserve">funding, as reflected in </w:t>
      </w:r>
      <w:r w:rsidR="007C5B33" w:rsidRPr="007C5B33">
        <w:t>Total University Expenditures</w:t>
      </w:r>
      <w:r w:rsidR="007C5B33">
        <w:t xml:space="preserve"> from all sources of funds, </w:t>
      </w:r>
      <w:r w:rsidR="007C5B33" w:rsidRPr="007C5B33">
        <w:t>and library funding</w:t>
      </w:r>
      <w:r w:rsidR="007C5B33">
        <w:t xml:space="preserve">, as reflected in Total </w:t>
      </w:r>
      <w:r w:rsidR="007C5B33" w:rsidRPr="007C5B33">
        <w:t>Library Expenditures at these top institutions</w:t>
      </w:r>
      <w:r w:rsidR="007C5B33">
        <w:t>.  This is not the case at UF, where the Library Expenditures fall well below the best fit line for all peer groups and the positive relationship is muted.</w:t>
      </w:r>
    </w:p>
    <w:p w:rsidR="00BE76EC" w:rsidRPr="00BE76EC" w:rsidRDefault="00BE76EC" w:rsidP="00BE76EC">
      <w:pPr>
        <w:jc w:val="center"/>
        <w:rPr>
          <w:b/>
          <w:u w:val="single"/>
        </w:rPr>
      </w:pPr>
      <w:r w:rsidRPr="00BE76EC">
        <w:rPr>
          <w:b/>
          <w:u w:val="single"/>
        </w:rPr>
        <w:t>Chart 1</w:t>
      </w:r>
    </w:p>
    <w:p w:rsidR="00562CE4" w:rsidRDefault="004F1408" w:rsidP="00A80493">
      <w:r>
        <w:rPr>
          <w:noProof/>
        </w:rPr>
        <w:drawing>
          <wp:inline distT="0" distB="0" distL="0" distR="0" wp14:anchorId="6179D0D4">
            <wp:extent cx="6810375" cy="33009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395" cy="330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F81" w:rsidRDefault="00F45F08" w:rsidP="00A80493">
      <w:r>
        <w:t xml:space="preserve">The </w:t>
      </w:r>
      <w:r w:rsidR="009E5F81" w:rsidRPr="009E5F81">
        <w:t xml:space="preserve">r-squared </w:t>
      </w:r>
      <w:r>
        <w:t>values reported in Table 1</w:t>
      </w:r>
      <w:r w:rsidR="009E5F81" w:rsidRPr="009E5F81">
        <w:t xml:space="preserve"> indicate the proportion of the change in </w:t>
      </w:r>
      <w:r>
        <w:t xml:space="preserve">library expenditures that </w:t>
      </w:r>
      <w:r w:rsidR="009E5F81" w:rsidRPr="009E5F81">
        <w:t xml:space="preserve">is predictable </w:t>
      </w:r>
      <w:r>
        <w:t>by university expenditures</w:t>
      </w:r>
      <w:r w:rsidR="009E5F81" w:rsidRPr="009E5F81">
        <w:t xml:space="preserve">.  </w:t>
      </w:r>
      <w:r>
        <w:t xml:space="preserve">The </w:t>
      </w:r>
      <w:r w:rsidR="009E5F81" w:rsidRPr="009E5F81">
        <w:t>statistical significance of the estimated relationship</w:t>
      </w:r>
      <w:r>
        <w:t xml:space="preserve"> for Group A and Group B </w:t>
      </w:r>
      <w:r w:rsidR="001A5660">
        <w:t xml:space="preserve">is </w:t>
      </w:r>
      <w:r>
        <w:t>high and reflects a significant relationship.  There is no significant relationship at the</w:t>
      </w:r>
      <w:r w:rsidR="00600798">
        <w:t xml:space="preserve"> University of Florida between U</w:t>
      </w:r>
      <w:r>
        <w:t>niversity expenditures, which have increased over time, and library expenditures.</w:t>
      </w:r>
    </w:p>
    <w:p w:rsidR="00F60974" w:rsidRPr="00F60974" w:rsidRDefault="00F60974" w:rsidP="00F60974">
      <w:pPr>
        <w:jc w:val="center"/>
        <w:rPr>
          <w:b/>
          <w:u w:val="single"/>
        </w:rPr>
      </w:pPr>
      <w:r w:rsidRPr="00F60974">
        <w:rPr>
          <w:b/>
          <w:u w:val="single"/>
        </w:rPr>
        <w:t>Table 1</w:t>
      </w:r>
    </w:p>
    <w:tbl>
      <w:tblPr>
        <w:tblW w:w="10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2"/>
        <w:gridCol w:w="2692"/>
        <w:gridCol w:w="2692"/>
        <w:gridCol w:w="2692"/>
      </w:tblGrid>
      <w:tr w:rsidR="00F231F6" w:rsidRPr="00F231F6" w:rsidTr="00F231F6">
        <w:trPr>
          <w:trHeight w:val="274"/>
        </w:trPr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/>
                <w:bCs/>
              </w:rPr>
              <w:t>Group A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/>
                <w:bCs/>
              </w:rPr>
              <w:t>Group B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/>
                <w:bCs/>
              </w:rPr>
              <w:t>Group C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/>
                <w:bCs/>
              </w:rPr>
              <w:t>UF Actual</w:t>
            </w:r>
          </w:p>
        </w:tc>
      </w:tr>
      <w:tr w:rsidR="00F231F6" w:rsidRPr="00F231F6" w:rsidTr="00F231F6">
        <w:trPr>
          <w:trHeight w:val="274"/>
        </w:trPr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Cs/>
              </w:rPr>
              <w:t>R² = 0.8637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Cs/>
              </w:rPr>
              <w:t>R² = 0.6398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Cs/>
              </w:rPr>
              <w:t>R² = 0.445</w:t>
            </w:r>
          </w:p>
        </w:tc>
        <w:tc>
          <w:tcPr>
            <w:tcW w:w="2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A5A" w:rsidRPr="00F231F6" w:rsidRDefault="00F231F6" w:rsidP="00F231F6">
            <w:pPr>
              <w:jc w:val="center"/>
            </w:pPr>
            <w:r w:rsidRPr="00F231F6">
              <w:rPr>
                <w:bCs/>
              </w:rPr>
              <w:t>R² = 0.0258</w:t>
            </w:r>
          </w:p>
        </w:tc>
      </w:tr>
    </w:tbl>
    <w:p w:rsidR="00F45F08" w:rsidRDefault="00F45F08" w:rsidP="007C5B33"/>
    <w:p w:rsidR="00C91E63" w:rsidRDefault="00C91E63">
      <w:pPr>
        <w:rPr>
          <w:b/>
        </w:rPr>
      </w:pPr>
      <w:r>
        <w:rPr>
          <w:b/>
        </w:rPr>
        <w:br w:type="page"/>
      </w:r>
    </w:p>
    <w:p w:rsidR="00C12455" w:rsidRDefault="00C12455" w:rsidP="007C5B33">
      <w:pPr>
        <w:rPr>
          <w:b/>
        </w:rPr>
      </w:pPr>
      <w:r>
        <w:rPr>
          <w:b/>
        </w:rPr>
        <w:lastRenderedPageBreak/>
        <w:t xml:space="preserve">Relationships between </w:t>
      </w:r>
      <w:r w:rsidR="00F45F08" w:rsidRPr="00F45F08">
        <w:rPr>
          <w:b/>
        </w:rPr>
        <w:t xml:space="preserve">Library Expenditures and University </w:t>
      </w:r>
      <w:r>
        <w:rPr>
          <w:b/>
        </w:rPr>
        <w:t>Income</w:t>
      </w:r>
      <w:r w:rsidR="003D433D">
        <w:rPr>
          <w:b/>
        </w:rPr>
        <w:t xml:space="preserve">  </w:t>
      </w:r>
    </w:p>
    <w:p w:rsidR="007C5B33" w:rsidRDefault="007C5B33" w:rsidP="007C5B33">
      <w:r>
        <w:t xml:space="preserve">The relationship between total library expenditures and </w:t>
      </w:r>
      <w:r w:rsidR="00F45F08">
        <w:t>the</w:t>
      </w:r>
      <w:r>
        <w:t xml:space="preserve"> university revenue </w:t>
      </w:r>
      <w:r w:rsidR="00F45F08">
        <w:t xml:space="preserve">generated </w:t>
      </w:r>
      <w:r>
        <w:t>from tuition and appropriations</w:t>
      </w:r>
      <w:r w:rsidR="001A5660">
        <w:t xml:space="preserve"> also</w:t>
      </w:r>
      <w:r>
        <w:t xml:space="preserve"> was </w:t>
      </w:r>
      <w:r w:rsidR="00F45F08">
        <w:t>analyz</w:t>
      </w:r>
      <w:r>
        <w:t xml:space="preserve">ed for the University of Florida and Group A (six comparable universities from the top 11 </w:t>
      </w:r>
      <w:r w:rsidRPr="001A5660">
        <w:rPr>
          <w:i/>
        </w:rPr>
        <w:t>U.S. News &amp; World Report</w:t>
      </w:r>
      <w:r>
        <w:t xml:space="preserve"> public universities)</w:t>
      </w:r>
      <w:r w:rsidR="00F45F08">
        <w:t xml:space="preserve"> using linear regression</w:t>
      </w:r>
      <w:r w:rsidR="003D433D">
        <w:t xml:space="preserve"> – see Chart 2</w:t>
      </w:r>
      <w:r>
        <w:t xml:space="preserve">. Linear regression analysis shows there exists a </w:t>
      </w:r>
      <w:r w:rsidR="00F45F08">
        <w:t>recurring</w:t>
      </w:r>
      <w:r>
        <w:t xml:space="preserve">, positive and predictive relationship between university funding, as reflected in revenue from tuition and </w:t>
      </w:r>
      <w:r w:rsidR="00F231F6">
        <w:t>appropriations,</w:t>
      </w:r>
      <w:r>
        <w:t xml:space="preserve"> and library funding, as reflected in </w:t>
      </w:r>
      <w:r w:rsidR="00F231F6">
        <w:t>t</w:t>
      </w:r>
      <w:r>
        <w:t xml:space="preserve">otal </w:t>
      </w:r>
      <w:r w:rsidR="00F231F6">
        <w:t>l</w:t>
      </w:r>
      <w:r>
        <w:t xml:space="preserve">ibrary </w:t>
      </w:r>
      <w:r w:rsidR="00F231F6">
        <w:t>e</w:t>
      </w:r>
      <w:r>
        <w:t xml:space="preserve">xpenditures.  This is not the case at UF, where the </w:t>
      </w:r>
      <w:r w:rsidR="00F231F6">
        <w:t>l</w:t>
      </w:r>
      <w:r>
        <w:t xml:space="preserve">ibrary </w:t>
      </w:r>
      <w:r w:rsidR="00F231F6">
        <w:t>e</w:t>
      </w:r>
      <w:r>
        <w:t xml:space="preserve">xpenditures fall well below the best fit line for </w:t>
      </w:r>
      <w:r w:rsidR="00F231F6">
        <w:t>Group A for each year analyzed</w:t>
      </w:r>
      <w:r>
        <w:t>.</w:t>
      </w:r>
    </w:p>
    <w:p w:rsidR="007C5B33" w:rsidRPr="00BE76EC" w:rsidRDefault="00BE76EC" w:rsidP="00BE76EC">
      <w:pPr>
        <w:jc w:val="center"/>
        <w:rPr>
          <w:b/>
          <w:u w:val="single"/>
        </w:rPr>
      </w:pPr>
      <w:r w:rsidRPr="00BE76EC">
        <w:rPr>
          <w:b/>
          <w:u w:val="single"/>
        </w:rPr>
        <w:t>Chart 2</w:t>
      </w:r>
    </w:p>
    <w:p w:rsidR="003C7A87" w:rsidRDefault="007C5B33" w:rsidP="003C7A87">
      <w:r>
        <w:rPr>
          <w:noProof/>
        </w:rPr>
        <w:drawing>
          <wp:inline distT="0" distB="0" distL="0" distR="0" wp14:anchorId="2C7E90F5">
            <wp:extent cx="5581762" cy="32741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05" cy="327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F81" w:rsidRPr="006743B1" w:rsidRDefault="003D433D" w:rsidP="009E5F81">
      <w:r>
        <w:t xml:space="preserve">UF, and other public universities in Florida, receive relatively </w:t>
      </w:r>
      <w:r w:rsidR="001A5660">
        <w:t>low</w:t>
      </w:r>
      <w:r>
        <w:t xml:space="preserve"> state </w:t>
      </w:r>
      <w:r w:rsidR="00D66402">
        <w:t>appropriations</w:t>
      </w:r>
      <w:r>
        <w:t xml:space="preserve"> and tuition</w:t>
      </w:r>
      <w:r w:rsidR="00F20134">
        <w:t xml:space="preserve">.  In fact the </w:t>
      </w:r>
      <w:r w:rsidR="00F20134" w:rsidRPr="00F20134">
        <w:t>state appropriations and tuition</w:t>
      </w:r>
      <w:r w:rsidR="001A5660">
        <w:t xml:space="preserve"> are</w:t>
      </w:r>
      <w:r>
        <w:t xml:space="preserve"> nearly the lowest of any state.  The relationships reflected in Chart 2 are important in that they </w:t>
      </w:r>
      <w:r w:rsidR="009E5F81" w:rsidRPr="006743B1">
        <w:t>scale the library expenditures</w:t>
      </w:r>
      <w:r w:rsidR="00397DD2">
        <w:t>, a reflection of library funding,</w:t>
      </w:r>
      <w:r w:rsidR="009E5F81" w:rsidRPr="006743B1">
        <w:t xml:space="preserve"> to the tuition and appropriations</w:t>
      </w:r>
      <w:r w:rsidR="00397DD2">
        <w:t xml:space="preserve"> funding</w:t>
      </w:r>
      <w:r w:rsidR="009E5F81" w:rsidRPr="006743B1">
        <w:t xml:space="preserve"> </w:t>
      </w:r>
      <w:r>
        <w:t xml:space="preserve">actually received by the parent institutions.  Accordingly, </w:t>
      </w:r>
      <w:r w:rsidR="009E5F81" w:rsidRPr="006743B1">
        <w:t xml:space="preserve">UF income </w:t>
      </w:r>
      <w:r w:rsidR="00397DD2">
        <w:t xml:space="preserve">from these sources </w:t>
      </w:r>
      <w:r w:rsidR="009E5F81" w:rsidRPr="006743B1">
        <w:t>may be low</w:t>
      </w:r>
      <w:r w:rsidR="00397DD2">
        <w:t>er than ideal</w:t>
      </w:r>
      <w:r w:rsidR="009E5F81" w:rsidRPr="006743B1">
        <w:t xml:space="preserve">, but the library funding is even lower </w:t>
      </w:r>
      <w:r>
        <w:t>than would be predicted by the relationship between these variables at peer institutions.</w:t>
      </w:r>
      <w:r w:rsidR="009E5F81" w:rsidRPr="006743B1">
        <w:t xml:space="preserve"> </w:t>
      </w:r>
    </w:p>
    <w:p w:rsidR="00C91E63" w:rsidRDefault="00C91E63">
      <w:pPr>
        <w:rPr>
          <w:b/>
        </w:rPr>
      </w:pPr>
      <w:r>
        <w:rPr>
          <w:b/>
        </w:rPr>
        <w:br w:type="page"/>
      </w:r>
    </w:p>
    <w:p w:rsidR="00F20134" w:rsidRDefault="003D433D" w:rsidP="009E5F81">
      <w:pPr>
        <w:spacing w:after="0"/>
      </w:pPr>
      <w:r w:rsidRPr="003D433D">
        <w:rPr>
          <w:b/>
        </w:rPr>
        <w:lastRenderedPageBreak/>
        <w:t>Pre</w:t>
      </w:r>
      <w:r w:rsidR="00F20134">
        <w:rPr>
          <w:b/>
        </w:rPr>
        <w:t>dicting UF Library Expenditures</w:t>
      </w:r>
      <w:r>
        <w:t xml:space="preserve">  </w:t>
      </w:r>
    </w:p>
    <w:p w:rsidR="009E5F81" w:rsidRDefault="00F231F6" w:rsidP="009E5F81">
      <w:pPr>
        <w:spacing w:after="0"/>
      </w:pPr>
      <w:r>
        <w:t xml:space="preserve">The </w:t>
      </w:r>
      <w:r w:rsidRPr="00F231F6">
        <w:t xml:space="preserve">model </w:t>
      </w:r>
      <w:r>
        <w:t>identified by the linear regression analysis of university revenue from tuition and appropriation at peer universities (independent variable</w:t>
      </w:r>
      <w:r w:rsidR="009E5F81">
        <w:t>)</w:t>
      </w:r>
      <w:r>
        <w:t xml:space="preserve"> and total library expenditures at those institutions (dependent variable) for each year can be expressed in a </w:t>
      </w:r>
      <w:r w:rsidR="009E5F81">
        <w:t>r</w:t>
      </w:r>
      <w:r w:rsidR="003C7A87">
        <w:t xml:space="preserve">egression line </w:t>
      </w:r>
      <w:r w:rsidR="009E5F81">
        <w:t xml:space="preserve">with a </w:t>
      </w:r>
      <w:r w:rsidR="003C7A87">
        <w:t>formula</w:t>
      </w:r>
      <w:r w:rsidR="009E5F81">
        <w:t xml:space="preserve"> of</w:t>
      </w:r>
      <w:r w:rsidRPr="00F231F6">
        <w:t xml:space="preserve"> </w:t>
      </w:r>
      <w:r>
        <w:t>Y = a + bX</w:t>
      </w:r>
      <w:r w:rsidR="009E5F81">
        <w:t>.  In this formula:</w:t>
      </w:r>
    </w:p>
    <w:p w:rsidR="009E5F81" w:rsidRDefault="009E5F81" w:rsidP="009E5F81">
      <w:pPr>
        <w:spacing w:after="0"/>
        <w:ind w:left="1440"/>
      </w:pPr>
      <w:r w:rsidRPr="009E5F81">
        <w:t xml:space="preserve">Y = </w:t>
      </w:r>
      <w:r>
        <w:t>the dependent variable</w:t>
      </w:r>
      <w:r w:rsidRPr="009E5F81">
        <w:t xml:space="preserve"> </w:t>
      </w:r>
    </w:p>
    <w:p w:rsidR="009E5F81" w:rsidRDefault="009E5F81" w:rsidP="009E5F81">
      <w:pPr>
        <w:spacing w:after="0"/>
        <w:ind w:left="1440"/>
      </w:pPr>
      <w:r>
        <w:t>X = the independent variable</w:t>
      </w:r>
    </w:p>
    <w:p w:rsidR="009E5F81" w:rsidRDefault="009E5F81" w:rsidP="009E5F81">
      <w:pPr>
        <w:spacing w:after="0"/>
        <w:ind w:left="1440"/>
      </w:pPr>
      <w:r w:rsidRPr="009E5F81">
        <w:t xml:space="preserve">b = </w:t>
      </w:r>
      <w:r>
        <w:t>t</w:t>
      </w:r>
      <w:r w:rsidRPr="009E5F81">
        <w:t xml:space="preserve">he slope of the regression line </w:t>
      </w:r>
    </w:p>
    <w:p w:rsidR="009E5F81" w:rsidRDefault="009E5F81" w:rsidP="009E5F81">
      <w:pPr>
        <w:spacing w:after="0"/>
        <w:ind w:left="1440"/>
      </w:pPr>
      <w:r w:rsidRPr="009E5F81">
        <w:t xml:space="preserve">a = </w:t>
      </w:r>
      <w:r>
        <w:t>t</w:t>
      </w:r>
      <w:r w:rsidRPr="009E5F81">
        <w:t xml:space="preserve">he intercept point of the regression line and the y axis. </w:t>
      </w:r>
    </w:p>
    <w:p w:rsidR="003C7A87" w:rsidRDefault="009E5F81" w:rsidP="009E5F81">
      <w:pPr>
        <w:spacing w:after="0"/>
      </w:pPr>
      <w:r>
        <w:t>The</w:t>
      </w:r>
      <w:r w:rsidRPr="009E5F81">
        <w:t xml:space="preserve"> regression line</w:t>
      </w:r>
      <w:r>
        <w:t xml:space="preserve"> formula is used in each of the best fit lines shown in </w:t>
      </w:r>
      <w:r w:rsidR="00B1353E">
        <w:t>C</w:t>
      </w:r>
      <w:r>
        <w:t xml:space="preserve">hart 1 and 2.  </w:t>
      </w:r>
    </w:p>
    <w:p w:rsidR="009E5F81" w:rsidRDefault="009E5F81" w:rsidP="009E5F81">
      <w:pPr>
        <w:spacing w:after="0"/>
      </w:pPr>
    </w:p>
    <w:p w:rsidR="009E5F81" w:rsidRDefault="009E5F81" w:rsidP="00F60974">
      <w:pPr>
        <w:spacing w:after="0"/>
      </w:pPr>
      <w:r>
        <w:t xml:space="preserve">Importantly, the </w:t>
      </w:r>
      <w:r w:rsidRPr="009E5F81">
        <w:t>regression line</w:t>
      </w:r>
      <w:r>
        <w:t xml:space="preserve"> formula allows for the calculation of the predicted value </w:t>
      </w:r>
      <w:r w:rsidR="00D66402">
        <w:t xml:space="preserve">for </w:t>
      </w:r>
      <w:r>
        <w:t xml:space="preserve">Y (library expenditures) if X (university </w:t>
      </w:r>
      <w:r w:rsidR="00C12455">
        <w:t>income</w:t>
      </w:r>
      <w:r>
        <w:t xml:space="preserve"> from tuition</w:t>
      </w:r>
      <w:r w:rsidR="00B1353E">
        <w:t xml:space="preserve"> and appropriations</w:t>
      </w:r>
      <w:r>
        <w:t xml:space="preserve">) is known.  Table </w:t>
      </w:r>
      <w:r w:rsidR="00F60974">
        <w:t>2</w:t>
      </w:r>
      <w:r>
        <w:t>, reflects the result of this calculation</w:t>
      </w:r>
      <w:r w:rsidR="00D66402" w:rsidRPr="00D66402">
        <w:t xml:space="preserve"> </w:t>
      </w:r>
      <w:r w:rsidR="00D66402">
        <w:t>for each year from 2008 to 2012</w:t>
      </w:r>
      <w:r>
        <w:t xml:space="preserve">: </w:t>
      </w:r>
      <w:r w:rsidR="00F60974">
        <w:t xml:space="preserve">UF Library Predicted Expenditures based on UF Tuition and Appropriations.  Also presented </w:t>
      </w:r>
      <w:r w:rsidR="00D66402">
        <w:t>are</w:t>
      </w:r>
      <w:r w:rsidR="00F60974">
        <w:t xml:space="preserve"> the UF Actual Library Expenditures and the difference between these figures and the predicted value. </w:t>
      </w:r>
    </w:p>
    <w:p w:rsidR="00742F43" w:rsidRPr="00F60974" w:rsidRDefault="00F60974" w:rsidP="00F60974">
      <w:pPr>
        <w:jc w:val="center"/>
        <w:rPr>
          <w:b/>
          <w:u w:val="single"/>
        </w:rPr>
      </w:pPr>
      <w:r w:rsidRPr="00F60974">
        <w:rPr>
          <w:b/>
          <w:u w:val="single"/>
        </w:rPr>
        <w:t xml:space="preserve">Table </w:t>
      </w:r>
      <w:r>
        <w:rPr>
          <w:b/>
          <w:u w:val="single"/>
        </w:rPr>
        <w:t>2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398"/>
        <w:gridCol w:w="2398"/>
        <w:gridCol w:w="2398"/>
        <w:gridCol w:w="2399"/>
      </w:tblGrid>
      <w:tr w:rsidR="00F231F6" w:rsidRPr="00F231F6" w:rsidTr="00F231F6">
        <w:trPr>
          <w:trHeight w:val="748"/>
        </w:trPr>
        <w:tc>
          <w:tcPr>
            <w:tcW w:w="1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UF Tuition &amp; Appropriations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9E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 xml:space="preserve">UF </w:t>
            </w:r>
            <w:r w:rsidR="00F60974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 xml:space="preserve">Library </w:t>
            </w: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Pr</w:t>
            </w:r>
            <w:r w:rsidR="009E5F81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edict</w:t>
            </w: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ed</w:t>
            </w:r>
            <w:r w:rsidR="00F60974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 xml:space="preserve"> Expenditures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UF</w:t>
            </w:r>
          </w:p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Actual</w:t>
            </w:r>
            <w:r w:rsidR="00F60974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 xml:space="preserve"> Library Expenditures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Difference</w:t>
            </w:r>
          </w:p>
        </w:tc>
      </w:tr>
      <w:tr w:rsidR="00F231F6" w:rsidRPr="00F231F6" w:rsidTr="00F231F6">
        <w:trPr>
          <w:trHeight w:val="806"/>
        </w:trPr>
        <w:tc>
          <w:tcPr>
            <w:tcW w:w="10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2008</w:t>
            </w:r>
          </w:p>
        </w:tc>
        <w:tc>
          <w:tcPr>
            <w:tcW w:w="2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$855,300,000</w:t>
            </w:r>
          </w:p>
        </w:tc>
        <w:tc>
          <w:tcPr>
            <w:tcW w:w="2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$43,231,307</w:t>
            </w:r>
          </w:p>
        </w:tc>
        <w:tc>
          <w:tcPr>
            <w:tcW w:w="2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$28,573,302</w:t>
            </w:r>
          </w:p>
        </w:tc>
        <w:tc>
          <w:tcPr>
            <w:tcW w:w="23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FF0000"/>
                <w:kern w:val="24"/>
              </w:rPr>
              <w:t>($14,658,005)</w:t>
            </w:r>
          </w:p>
        </w:tc>
      </w:tr>
      <w:tr w:rsidR="00F231F6" w:rsidRPr="00F231F6" w:rsidTr="00F231F6">
        <w:trPr>
          <w:trHeight w:val="806"/>
        </w:trPr>
        <w:tc>
          <w:tcPr>
            <w:tcW w:w="1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2009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$849,955,000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$43,249,625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$28,147,202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FF0000"/>
                <w:kern w:val="24"/>
              </w:rPr>
              <w:t>($15,102,423)</w:t>
            </w:r>
          </w:p>
        </w:tc>
      </w:tr>
      <w:tr w:rsidR="00F231F6" w:rsidRPr="00F231F6" w:rsidTr="00F231F6">
        <w:trPr>
          <w:trHeight w:val="806"/>
        </w:trPr>
        <w:tc>
          <w:tcPr>
            <w:tcW w:w="1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2010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$797,569,000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$42,536,788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$27,242,279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FF0000"/>
                <w:kern w:val="24"/>
              </w:rPr>
              <w:t>($15,294,509)</w:t>
            </w:r>
          </w:p>
        </w:tc>
      </w:tr>
      <w:tr w:rsidR="00F231F6" w:rsidRPr="00F231F6" w:rsidTr="00F231F6">
        <w:trPr>
          <w:trHeight w:val="806"/>
        </w:trPr>
        <w:tc>
          <w:tcPr>
            <w:tcW w:w="1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2011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$855,234,000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$43,650,863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$29,537,452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FF0000"/>
                <w:kern w:val="24"/>
              </w:rPr>
              <w:t>($14,113,411)</w:t>
            </w:r>
          </w:p>
        </w:tc>
      </w:tr>
      <w:tr w:rsidR="00F231F6" w:rsidRPr="00F231F6" w:rsidTr="00F231F6">
        <w:trPr>
          <w:trHeight w:val="806"/>
        </w:trPr>
        <w:tc>
          <w:tcPr>
            <w:tcW w:w="1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231F6">
              <w:rPr>
                <w:rFonts w:eastAsia="Times New Roman" w:hAnsi="Calibri" w:cs="Arial"/>
                <w:b/>
                <w:bCs/>
                <w:color w:val="000000" w:themeColor="text1"/>
                <w:kern w:val="24"/>
              </w:rPr>
              <w:t>2012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$848,376,000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$42,701,203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000000" w:themeColor="dark1"/>
                <w:kern w:val="24"/>
              </w:rPr>
              <w:t>$28,581,160</w:t>
            </w:r>
          </w:p>
        </w:tc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1F6" w:rsidRPr="00F231F6" w:rsidRDefault="00F231F6" w:rsidP="00F231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231F6">
              <w:rPr>
                <w:rFonts w:eastAsia="Times New Roman" w:hAnsi="Calibri" w:cs="Arial"/>
                <w:bCs/>
                <w:color w:val="FF0000"/>
                <w:kern w:val="24"/>
              </w:rPr>
              <w:t>($14,120,043)</w:t>
            </w:r>
          </w:p>
        </w:tc>
      </w:tr>
    </w:tbl>
    <w:p w:rsidR="00BE76EC" w:rsidRDefault="00BE76EC" w:rsidP="00F60974"/>
    <w:p w:rsidR="00F60974" w:rsidRDefault="00BE76EC" w:rsidP="00F60974">
      <w:r>
        <w:t>As Chart 2 depict</w:t>
      </w:r>
      <w:r w:rsidR="00D66402">
        <w:t>ed</w:t>
      </w:r>
      <w:r>
        <w:t>, the r</w:t>
      </w:r>
      <w:r w:rsidR="00F60974">
        <w:t xml:space="preserve">elationship between university income from appropriations and tuition and library expenditures is strong and positive </w:t>
      </w:r>
      <w:r>
        <w:t xml:space="preserve">at peer institutions, but not at </w:t>
      </w:r>
      <w:r w:rsidR="00F60974">
        <w:t>UF.</w:t>
      </w:r>
      <w:r>
        <w:t xml:space="preserve">  Based on the relationship between these variables</w:t>
      </w:r>
      <w:r w:rsidR="00F20134">
        <w:t xml:space="preserve"> at peer institutions</w:t>
      </w:r>
      <w:r>
        <w:t xml:space="preserve">, the annual expenditures of the </w:t>
      </w:r>
      <w:r w:rsidR="00F60974">
        <w:t xml:space="preserve">UF libraries </w:t>
      </w:r>
      <w:r>
        <w:t>fall between</w:t>
      </w:r>
      <w:r w:rsidR="00F60974">
        <w:t xml:space="preserve"> $14 and $15 million </w:t>
      </w:r>
      <w:r>
        <w:t xml:space="preserve">below the level that would be </w:t>
      </w:r>
      <w:r w:rsidR="00D66402">
        <w:t>predicted (using the regression line formulas)</w:t>
      </w:r>
      <w:r>
        <w:t xml:space="preserve"> given the amount of tuition and appropriation revenue generate</w:t>
      </w:r>
      <w:r w:rsidR="00600798">
        <w:t>d by the U</w:t>
      </w:r>
      <w:r>
        <w:t>niversity</w:t>
      </w:r>
      <w:r w:rsidR="00F60974">
        <w:t>.</w:t>
      </w:r>
    </w:p>
    <w:p w:rsidR="00F60974" w:rsidRPr="00B1353E" w:rsidRDefault="00BE76EC" w:rsidP="00F60974">
      <w:pPr>
        <w:rPr>
          <w:b/>
        </w:rPr>
      </w:pPr>
      <w:r w:rsidRPr="00B1353E">
        <w:rPr>
          <w:b/>
        </w:rPr>
        <w:t>Summary</w:t>
      </w:r>
    </w:p>
    <w:p w:rsidR="009E5F81" w:rsidRDefault="003023C8" w:rsidP="009E5F81">
      <w:r w:rsidRPr="003023C8">
        <w:t>Linear regression</w:t>
      </w:r>
      <w:r w:rsidR="00B1353E">
        <w:t xml:space="preserve"> </w:t>
      </w:r>
      <w:r>
        <w:t>a</w:t>
      </w:r>
      <w:r w:rsidR="00B1353E">
        <w:t>nalysis provides a</w:t>
      </w:r>
      <w:r w:rsidR="00D66402">
        <w:t xml:space="preserve"> statistically valid method</w:t>
      </w:r>
      <w:r w:rsidR="009E5F81">
        <w:t xml:space="preserve"> for assessing the funding for </w:t>
      </w:r>
      <w:r w:rsidR="00B1353E">
        <w:t xml:space="preserve">individual </w:t>
      </w:r>
      <w:r w:rsidR="009E5F81">
        <w:t>libraries as compared to peers</w:t>
      </w:r>
      <w:r w:rsidR="00B1353E">
        <w:t>.  In the case of UF, this analysis proves</w:t>
      </w:r>
      <w:r w:rsidR="00BE76EC">
        <w:t xml:space="preserve"> t</w:t>
      </w:r>
      <w:r w:rsidR="009E5F81">
        <w:t xml:space="preserve">he </w:t>
      </w:r>
      <w:r w:rsidR="00BE76EC">
        <w:t xml:space="preserve">library </w:t>
      </w:r>
      <w:r w:rsidR="009E5F81">
        <w:t>funding is atypical</w:t>
      </w:r>
      <w:r w:rsidR="00BE76EC">
        <w:t xml:space="preserve"> compared to relevant peer institutions.</w:t>
      </w:r>
      <w:r w:rsidR="00F20134">
        <w:t xml:space="preserve">  The result</w:t>
      </w:r>
      <w:r w:rsidR="00397DD2">
        <w:t>s</w:t>
      </w:r>
      <w:r w:rsidR="00F20134">
        <w:t xml:space="preserve"> of the analysis are not only statistical significant, but are easily understandable which is </w:t>
      </w:r>
      <w:r w:rsidR="009A1C55">
        <w:t>equally</w:t>
      </w:r>
      <w:r w:rsidR="00F20134">
        <w:t xml:space="preserve"> </w:t>
      </w:r>
      <w:r w:rsidR="00F20134">
        <w:lastRenderedPageBreak/>
        <w:t>important.  As a result of the analyses</w:t>
      </w:r>
      <w:r w:rsidR="00397DD2">
        <w:t xml:space="preserve"> and the communication of these findin</w:t>
      </w:r>
      <w:bookmarkStart w:id="0" w:name="_GoBack"/>
      <w:bookmarkEnd w:id="0"/>
      <w:r w:rsidR="00397DD2">
        <w:t>gs</w:t>
      </w:r>
      <w:r w:rsidR="00F20134">
        <w:t>, the financial situation of the George A. Smathers Libraries has been acknowledged by key decision makers in the RCM system at UF.</w:t>
      </w:r>
    </w:p>
    <w:p w:rsidR="00BE76EC" w:rsidRDefault="00BE76EC" w:rsidP="00896732"/>
    <w:p w:rsidR="00896732" w:rsidRDefault="00BE76EC" w:rsidP="00896732">
      <w:r>
        <w:t>(1)</w:t>
      </w:r>
      <w:r>
        <w:tab/>
      </w:r>
      <w:r w:rsidR="00896732" w:rsidRPr="00896732">
        <w:t xml:space="preserve">Yan, Xin. Linear Regression </w:t>
      </w:r>
      <w:r w:rsidR="00F231F6" w:rsidRPr="00896732">
        <w:t>Analysis:</w:t>
      </w:r>
      <w:r w:rsidR="00896732" w:rsidRPr="00896732">
        <w:t xml:space="preserve"> Theory and Computing. SGP: World Scientific, 2009.</w:t>
      </w:r>
    </w:p>
    <w:sectPr w:rsidR="00896732" w:rsidSect="00742F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60" w:rsidRDefault="001A5660" w:rsidP="001A5660">
      <w:pPr>
        <w:spacing w:after="0" w:line="240" w:lineRule="auto"/>
      </w:pPr>
      <w:r>
        <w:separator/>
      </w:r>
    </w:p>
  </w:endnote>
  <w:endnote w:type="continuationSeparator" w:id="0">
    <w:p w:rsidR="001A5660" w:rsidRDefault="001A5660" w:rsidP="001A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79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660" w:rsidRDefault="001A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D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5660" w:rsidRDefault="001A5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60" w:rsidRDefault="001A5660" w:rsidP="001A5660">
      <w:pPr>
        <w:spacing w:after="0" w:line="240" w:lineRule="auto"/>
      </w:pPr>
      <w:r>
        <w:separator/>
      </w:r>
    </w:p>
  </w:footnote>
  <w:footnote w:type="continuationSeparator" w:id="0">
    <w:p w:rsidR="001A5660" w:rsidRDefault="001A5660" w:rsidP="001A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65"/>
    <w:rsid w:val="000D43F1"/>
    <w:rsid w:val="00114452"/>
    <w:rsid w:val="00126F1C"/>
    <w:rsid w:val="001A5660"/>
    <w:rsid w:val="00264F9C"/>
    <w:rsid w:val="003023C8"/>
    <w:rsid w:val="00383FDF"/>
    <w:rsid w:val="00397DD2"/>
    <w:rsid w:val="003C7A87"/>
    <w:rsid w:val="003D433D"/>
    <w:rsid w:val="004F1408"/>
    <w:rsid w:val="00562CE4"/>
    <w:rsid w:val="00571865"/>
    <w:rsid w:val="005B0895"/>
    <w:rsid w:val="00600798"/>
    <w:rsid w:val="006743B1"/>
    <w:rsid w:val="006B5B02"/>
    <w:rsid w:val="007013F6"/>
    <w:rsid w:val="00742F43"/>
    <w:rsid w:val="00786D66"/>
    <w:rsid w:val="007A01A0"/>
    <w:rsid w:val="007C5B33"/>
    <w:rsid w:val="007D228C"/>
    <w:rsid w:val="00896732"/>
    <w:rsid w:val="00900B71"/>
    <w:rsid w:val="0092537C"/>
    <w:rsid w:val="00931818"/>
    <w:rsid w:val="009A1C55"/>
    <w:rsid w:val="009E5F81"/>
    <w:rsid w:val="00A22EAB"/>
    <w:rsid w:val="00A24A5A"/>
    <w:rsid w:val="00A60130"/>
    <w:rsid w:val="00A80493"/>
    <w:rsid w:val="00AF5FFE"/>
    <w:rsid w:val="00B1353E"/>
    <w:rsid w:val="00BA521F"/>
    <w:rsid w:val="00BB437A"/>
    <w:rsid w:val="00BE76EC"/>
    <w:rsid w:val="00C12455"/>
    <w:rsid w:val="00C23563"/>
    <w:rsid w:val="00C91E63"/>
    <w:rsid w:val="00D3435D"/>
    <w:rsid w:val="00D66402"/>
    <w:rsid w:val="00E1550B"/>
    <w:rsid w:val="00E1728C"/>
    <w:rsid w:val="00E9460F"/>
    <w:rsid w:val="00EA690C"/>
    <w:rsid w:val="00EF0604"/>
    <w:rsid w:val="00EF71B4"/>
    <w:rsid w:val="00F20134"/>
    <w:rsid w:val="00F231F6"/>
    <w:rsid w:val="00F45F08"/>
    <w:rsid w:val="00F60974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60"/>
  </w:style>
  <w:style w:type="paragraph" w:styleId="Footer">
    <w:name w:val="footer"/>
    <w:basedOn w:val="Normal"/>
    <w:link w:val="FooterChar"/>
    <w:uiPriority w:val="99"/>
    <w:unhideWhenUsed/>
    <w:rsid w:val="001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60"/>
  </w:style>
  <w:style w:type="paragraph" w:styleId="Footer">
    <w:name w:val="footer"/>
    <w:basedOn w:val="Normal"/>
    <w:link w:val="FooterChar"/>
    <w:uiPriority w:val="99"/>
    <w:unhideWhenUsed/>
    <w:rsid w:val="001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2014-10-07T17:14:00Z</cp:lastPrinted>
  <dcterms:created xsi:type="dcterms:W3CDTF">2014-10-08T13:32:00Z</dcterms:created>
  <dcterms:modified xsi:type="dcterms:W3CDTF">2014-10-08T13:32:00Z</dcterms:modified>
</cp:coreProperties>
</file>