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7C" w:rsidRPr="00D1557C" w:rsidRDefault="00D1557C" w:rsidP="00D1557C">
      <w:pPr>
        <w:pStyle w:val="ListParagraph"/>
        <w:widowControl w:val="0"/>
        <w:ind w:left="0"/>
        <w:jc w:val="center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bookmarkStart w:id="0" w:name="_GoBack"/>
      <w:proofErr w:type="gramStart"/>
      <w:r w:rsidRPr="00D1557C">
        <w:rPr>
          <w:rFonts w:ascii="Times New Roman" w:hAnsi="Times New Roman" w:cs="Times New Roman"/>
          <w:b/>
          <w:bCs/>
          <w:color w:val="5B3B00"/>
          <w:sz w:val="24"/>
          <w:szCs w:val="24"/>
        </w:rPr>
        <w:t>dLOC</w:t>
      </w:r>
      <w:proofErr w:type="gramEnd"/>
      <w:r w:rsidRPr="00D1557C">
        <w:rPr>
          <w:rFonts w:ascii="Times New Roman" w:hAnsi="Times New Roman" w:cs="Times New Roman"/>
          <w:b/>
          <w:bCs/>
          <w:color w:val="5B3B00"/>
          <w:sz w:val="24"/>
          <w:szCs w:val="24"/>
        </w:rPr>
        <w:t xml:space="preserve"> Sustainability Planning</w:t>
      </w:r>
    </w:p>
    <w:p w:rsidR="00D1557C" w:rsidRPr="00D1557C" w:rsidRDefault="00D1557C" w:rsidP="00D1557C">
      <w:pPr>
        <w:widowControl w:val="0"/>
        <w:jc w:val="center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D1557C">
        <w:rPr>
          <w:rFonts w:ascii="Times New Roman" w:hAnsi="Times New Roman" w:cs="Times New Roman"/>
          <w:b/>
          <w:bCs/>
          <w:color w:val="5B3B00"/>
          <w:sz w:val="24"/>
          <w:szCs w:val="24"/>
        </w:rPr>
        <w:t>Update – June 2013</w:t>
      </w:r>
    </w:p>
    <w:bookmarkEnd w:id="0"/>
    <w:p w:rsidR="00C41FE2" w:rsidRPr="002A3A47" w:rsidRDefault="00C41FE2" w:rsidP="00C41FE2">
      <w:pPr>
        <w:widowControl w:val="0"/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Section </w:t>
      </w:r>
      <w:proofErr w:type="gramStart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One</w:t>
      </w:r>
      <w:proofErr w:type="gramEnd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addresses </w:t>
      </w:r>
      <w:r w:rsidR="00D1557C">
        <w:rPr>
          <w:rFonts w:ascii="Times New Roman" w:hAnsi="Times New Roman" w:cs="Times New Roman"/>
          <w:bCs/>
          <w:color w:val="5B3B00"/>
          <w:sz w:val="24"/>
          <w:szCs w:val="24"/>
        </w:rPr>
        <w:t>the</w:t>
      </w: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current products and services, organization and governance structure, and a value proposition and market placement. Section Two outlines key strategies for dLOC’s continued growth and the plan for </w:t>
      </w:r>
      <w:r w:rsidR="00D1557C">
        <w:rPr>
          <w:rFonts w:ascii="Times New Roman" w:hAnsi="Times New Roman" w:cs="Times New Roman"/>
          <w:bCs/>
          <w:color w:val="5B3B00"/>
          <w:sz w:val="24"/>
          <w:szCs w:val="24"/>
        </w:rPr>
        <w:t>2012-2015 with updates at the end of year one (2013)</w:t>
      </w: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.  </w:t>
      </w:r>
    </w:p>
    <w:p w:rsidR="00C41FE2" w:rsidRPr="002A3A47" w:rsidRDefault="00C41FE2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Key Points - Section One</w:t>
      </w:r>
    </w:p>
    <w:p w:rsidR="00C41FE2" w:rsidRPr="002A3A47" w:rsidRDefault="00C41FE2" w:rsidP="00C41FE2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Current products and services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proofErr w:type="gramStart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dLOC</w:t>
      </w:r>
      <w:proofErr w:type="gramEnd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provi</w:t>
      </w:r>
      <w:r w:rsidR="00D1557C">
        <w:rPr>
          <w:rFonts w:ascii="Times New Roman" w:hAnsi="Times New Roman" w:cs="Times New Roman"/>
          <w:bCs/>
          <w:color w:val="5B3B00"/>
          <w:sz w:val="24"/>
          <w:szCs w:val="24"/>
        </w:rPr>
        <w:t>des free access to more than 1.8</w:t>
      </w: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million pages of Caribbean content in multiple languages from more than 3</w:t>
      </w:r>
      <w:r w:rsidR="00D1557C">
        <w:rPr>
          <w:rFonts w:ascii="Times New Roman" w:hAnsi="Times New Roman" w:cs="Times New Roman"/>
          <w:bCs/>
          <w:color w:val="5B3B00"/>
          <w:sz w:val="24"/>
          <w:szCs w:val="24"/>
        </w:rPr>
        <w:t>6</w:t>
      </w: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partners.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proofErr w:type="gramStart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dLOC</w:t>
      </w:r>
      <w:proofErr w:type="gramEnd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partners gain access to the already operating dLOC website with online web presence, digital preservation and archiving, digitization and digital curation tools and training.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Scholars collaborate in the dLOC environment building upon the shared collections to create collaborative research projects and exhibits.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Primary and secondary schools, universities and the community learn about the Caribbean and have access to research resources through targeted outreach events.</w:t>
      </w:r>
    </w:p>
    <w:p w:rsidR="00C41FE2" w:rsidRPr="002A3A47" w:rsidRDefault="00C41FE2" w:rsidP="00C41FE2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bCs/>
          <w:color w:val="5B3B00"/>
          <w:sz w:val="14"/>
          <w:szCs w:val="24"/>
        </w:rPr>
      </w:pPr>
    </w:p>
    <w:p w:rsidR="00C41FE2" w:rsidRPr="002A3A47" w:rsidRDefault="00C41FE2" w:rsidP="00C41FE2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Organization and Governance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Partners, publishers and members all have defined roles and contribute to the success of the collaboration.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The Executive and Academic Advisory Boards provide leadership and governance for the project.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The Administrative and Technical hosts provide support and sustainability for the program.</w:t>
      </w:r>
    </w:p>
    <w:p w:rsidR="00C41FE2" w:rsidRPr="002A3A47" w:rsidRDefault="00C41FE2" w:rsidP="00C41FE2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bCs/>
          <w:color w:val="5B3B00"/>
          <w:sz w:val="14"/>
          <w:szCs w:val="24"/>
        </w:rPr>
      </w:pPr>
    </w:p>
    <w:p w:rsidR="00C41FE2" w:rsidRPr="002A3A47" w:rsidRDefault="00C41FE2" w:rsidP="00C41FE2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Value Proposition and Market Placement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proofErr w:type="gramStart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dLOC</w:t>
      </w:r>
      <w:proofErr w:type="gramEnd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is uniquely positioned as the largest and most well-known open access repository of Caribbean research materials supporting preservation and access for Caribbean Studies.</w:t>
      </w:r>
    </w:p>
    <w:p w:rsidR="00C41FE2" w:rsidRPr="002A3A47" w:rsidRDefault="00C41FE2" w:rsidP="00C41FE2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proofErr w:type="gramStart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>dLOC</w:t>
      </w:r>
      <w:proofErr w:type="gramEnd"/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represents the most cost effective and efficient solution for access to Caribbean research resources based on research of the existing commercial and open access resources; especially in an environment where open access repositories are increasingly understood and operated as viable solutions.</w:t>
      </w:r>
    </w:p>
    <w:p w:rsidR="00C41FE2" w:rsidRPr="002A3A47" w:rsidRDefault="00C41FE2" w:rsidP="00C41FE2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Cs/>
          <w:color w:val="5B3B00"/>
          <w:sz w:val="24"/>
          <w:szCs w:val="24"/>
        </w:rPr>
        <w:t xml:space="preserve"> </w:t>
      </w:r>
    </w:p>
    <w:p w:rsidR="00C41FE2" w:rsidRPr="002A3A47" w:rsidRDefault="00C41FE2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Key Points - Section Two</w:t>
      </w:r>
    </w:p>
    <w:p w:rsidR="00C41FE2" w:rsidRDefault="00C41FE2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Partners and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C41FE2" w:rsidTr="00C41FE2">
        <w:tc>
          <w:tcPr>
            <w:tcW w:w="5778" w:type="dxa"/>
          </w:tcPr>
          <w:p w:rsidR="00C41FE2" w:rsidRP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Objectives</w:t>
            </w:r>
          </w:p>
        </w:tc>
        <w:tc>
          <w:tcPr>
            <w:tcW w:w="3798" w:type="dxa"/>
          </w:tcPr>
          <w:p w:rsid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2013 Update</w:t>
            </w:r>
          </w:p>
        </w:tc>
      </w:tr>
      <w:tr w:rsidR="00C41FE2" w:rsidTr="00C41FE2">
        <w:tc>
          <w:tcPr>
            <w:tcW w:w="5778" w:type="dxa"/>
          </w:tcPr>
          <w:p w:rsidR="00C41FE2" w:rsidRPr="00C41FE2" w:rsidRDefault="00C41FE2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Increase the number of Partners (currently 32) by 2-5 partners per year </w:t>
            </w:r>
          </w:p>
        </w:tc>
        <w:tc>
          <w:tcPr>
            <w:tcW w:w="3798" w:type="dxa"/>
          </w:tcPr>
          <w:p w:rsidR="00C41FE2" w:rsidRPr="00880123" w:rsidRDefault="00880123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Currently at 36 (or 38) partners</w:t>
            </w:r>
          </w:p>
        </w:tc>
      </w:tr>
      <w:tr w:rsidR="00C41FE2" w:rsidTr="00C41FE2">
        <w:tc>
          <w:tcPr>
            <w:tcW w:w="5778" w:type="dxa"/>
          </w:tcPr>
          <w:p w:rsidR="00C41FE2" w:rsidRPr="00C41FE2" w:rsidRDefault="00C41FE2" w:rsidP="00D1557C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Increase the number of Institutional Members (currently 11) to 25 by June 2013</w:t>
            </w:r>
          </w:p>
        </w:tc>
        <w:tc>
          <w:tcPr>
            <w:tcW w:w="3798" w:type="dxa"/>
          </w:tcPr>
          <w:p w:rsidR="00C41FE2" w:rsidRPr="00880123" w:rsidRDefault="00880123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11 in 2011-2012</w:t>
            </w:r>
          </w:p>
          <w:p w:rsidR="00880123" w:rsidRDefault="00880123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13 in 2012-2013</w:t>
            </w:r>
          </w:p>
          <w:p w:rsidR="00086B4F" w:rsidRPr="00880123" w:rsidRDefault="00086B4F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</w:p>
        </w:tc>
      </w:tr>
      <w:tr w:rsidR="00C41FE2" w:rsidTr="00C41FE2">
        <w:tc>
          <w:tcPr>
            <w:tcW w:w="5778" w:type="dxa"/>
          </w:tcPr>
          <w:p w:rsidR="00C41FE2" w:rsidRPr="002A3A47" w:rsidRDefault="00C41FE2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lastRenderedPageBreak/>
              <w:t>Increase promotion to new Partners and Members by adding several methods:</w:t>
            </w:r>
          </w:p>
          <w:p w:rsidR="00C41FE2" w:rsidRPr="002A3A47" w:rsidRDefault="00C41FE2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Rotating the new iterations of the Caribbean Scholarship in the Digital Age Conferences</w:t>
            </w:r>
            <w:r w:rsidR="00086B4F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.</w:t>
            </w: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</w:t>
            </w:r>
          </w:p>
          <w:p w:rsidR="00C41FE2" w:rsidRPr="002A3A47" w:rsidRDefault="00C41FE2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  <w:t>Create a calendar or other promotional piece sent to Partners and Members.</w:t>
            </w:r>
          </w:p>
          <w:p w:rsidR="00C41FE2" w:rsidRPr="002A3A47" w:rsidRDefault="00C41FE2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As funding permits, create a t</w:t>
            </w:r>
            <w:r w:rsidRPr="002A3A47"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  <w:t xml:space="preserve">raveling </w:t>
            </w: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e</w:t>
            </w:r>
            <w:r w:rsidRPr="002A3A47">
              <w:rPr>
                <w:rFonts w:ascii="Times New Roman" w:eastAsiaTheme="minorHAnsi" w:hAnsi="Times New Roman" w:cs="Times New Roman"/>
                <w:bCs/>
                <w:color w:val="5B3B00"/>
                <w:sz w:val="24"/>
                <w:szCs w:val="24"/>
              </w:rPr>
              <w:t xml:space="preserve">xhibit </w:t>
            </w: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and offer to Partners and Members. </w:t>
            </w:r>
          </w:p>
          <w:p w:rsidR="00C41FE2" w:rsidRPr="00C41FE2" w:rsidRDefault="00C41FE2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As funding permits, award small seed funding to support local digitization.</w:t>
            </w:r>
          </w:p>
        </w:tc>
        <w:tc>
          <w:tcPr>
            <w:tcW w:w="3798" w:type="dxa"/>
          </w:tcPr>
          <w:p w:rsidR="00C41FE2" w:rsidRDefault="00880123" w:rsidP="0088012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   </w:t>
            </w:r>
          </w:p>
          <w:p w:rsidR="00880123" w:rsidRDefault="00880123" w:rsidP="0088012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</w:p>
          <w:p w:rsidR="00880123" w:rsidRDefault="00880123" w:rsidP="00880123">
            <w:pPr>
              <w:pStyle w:val="ListParagraph"/>
              <w:widowControl w:val="0"/>
              <w:numPr>
                <w:ilvl w:val="3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Need to plan for 2013</w:t>
            </w:r>
          </w:p>
          <w:p w:rsidR="00880123" w:rsidRDefault="00880123" w:rsidP="00880123">
            <w:pPr>
              <w:pStyle w:val="ListParagraph"/>
              <w:widowControl w:val="0"/>
              <w:ind w:left="522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</w:p>
          <w:p w:rsidR="00880123" w:rsidRDefault="00880123" w:rsidP="00880123">
            <w:pPr>
              <w:pStyle w:val="ListParagraph"/>
              <w:widowControl w:val="0"/>
              <w:numPr>
                <w:ilvl w:val="3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Need to plan for 2013</w:t>
            </w:r>
          </w:p>
          <w:p w:rsidR="00880123" w:rsidRDefault="00880123" w:rsidP="00880123">
            <w:pPr>
              <w:pStyle w:val="ListParagraph"/>
              <w:widowControl w:val="0"/>
              <w:ind w:left="522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 </w:t>
            </w:r>
          </w:p>
          <w:p w:rsidR="00880123" w:rsidRDefault="00880123" w:rsidP="00880123">
            <w:pPr>
              <w:pStyle w:val="ListParagraph"/>
              <w:widowControl w:val="0"/>
              <w:numPr>
                <w:ilvl w:val="3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Need to plan for 2013</w:t>
            </w:r>
          </w:p>
          <w:p w:rsidR="00880123" w:rsidRPr="00880123" w:rsidRDefault="00880123" w:rsidP="00880123">
            <w:pPr>
              <w:pStyle w:val="ListParagrap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</w:p>
          <w:p w:rsidR="00880123" w:rsidRPr="00880123" w:rsidRDefault="00880123" w:rsidP="00880123">
            <w:pPr>
              <w:pStyle w:val="ListParagraph"/>
              <w:widowControl w:val="0"/>
              <w:numPr>
                <w:ilvl w:val="3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El </w:t>
            </w:r>
            <w:proofErr w:type="spellStart"/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Mundo</w:t>
            </w:r>
            <w:proofErr w:type="spellEnd"/>
            <w:r w:rsidRPr="00880123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microfilm</w:t>
            </w:r>
          </w:p>
        </w:tc>
      </w:tr>
    </w:tbl>
    <w:p w:rsidR="00C41FE2" w:rsidRPr="002A3A47" w:rsidRDefault="00C41FE2" w:rsidP="00C41FE2">
      <w:pPr>
        <w:widowControl w:val="0"/>
        <w:jc w:val="both"/>
        <w:rPr>
          <w:rFonts w:ascii="Times New Roman" w:hAnsi="Times New Roman" w:cs="Times New Roman"/>
          <w:bCs/>
          <w:color w:val="5B3B00"/>
          <w:sz w:val="14"/>
          <w:szCs w:val="24"/>
        </w:rPr>
      </w:pPr>
    </w:p>
    <w:p w:rsidR="00C41FE2" w:rsidRDefault="00C41FE2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>Donor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C41FE2" w:rsidTr="00C41FE2">
        <w:tc>
          <w:tcPr>
            <w:tcW w:w="5778" w:type="dxa"/>
          </w:tcPr>
          <w:p w:rsidR="00C41FE2" w:rsidRP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Objectives</w:t>
            </w:r>
          </w:p>
        </w:tc>
        <w:tc>
          <w:tcPr>
            <w:tcW w:w="3798" w:type="dxa"/>
          </w:tcPr>
          <w:p w:rsid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2013 Update</w:t>
            </w:r>
          </w:p>
        </w:tc>
      </w:tr>
      <w:tr w:rsidR="00D1557C" w:rsidTr="00C41FE2">
        <w:tc>
          <w:tcPr>
            <w:tcW w:w="5778" w:type="dxa"/>
          </w:tcPr>
          <w:p w:rsidR="00D1557C" w:rsidRPr="002A3A47" w:rsidRDefault="00D1557C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Over the next 3 years we will aim to have 1-2 meetings with possible donors per month and submit 3-4 proposals to potential funders per year.  </w:t>
            </w:r>
          </w:p>
          <w:p w:rsidR="00D1557C" w:rsidRDefault="00D1557C" w:rsidP="00C41FE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</w:tcPr>
          <w:p w:rsidR="00D1557C" w:rsidRPr="00D1557C" w:rsidRDefault="00D1557C" w:rsidP="002328F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Transitions in the </w:t>
            </w:r>
            <w:r w:rsidR="00260A1A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Host</w:t>
            </w: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Libraries have postponed most </w:t>
            </w:r>
            <w:r w:rsidR="00F573A8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private </w:t>
            </w: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donor development; new staff </w:t>
            </w:r>
            <w:r w:rsidR="002328F0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to begin </w:t>
            </w:r>
            <w:r w:rsidR="002C612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later </w:t>
            </w:r>
            <w:r w:rsidR="002328F0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in </w:t>
            </w: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2013</w:t>
            </w:r>
          </w:p>
        </w:tc>
      </w:tr>
      <w:tr w:rsidR="00D1557C" w:rsidTr="00C41FE2">
        <w:tc>
          <w:tcPr>
            <w:tcW w:w="5778" w:type="dxa"/>
          </w:tcPr>
          <w:p w:rsidR="00D1557C" w:rsidRDefault="00D1557C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Release and promote a donor-sponsored digitization program</w:t>
            </w:r>
          </w:p>
          <w:p w:rsidR="00D1557C" w:rsidRPr="002A3A47" w:rsidRDefault="00D1557C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Digitize a Resource - $100 and up </w:t>
            </w:r>
          </w:p>
          <w:p w:rsidR="00D1557C" w:rsidRPr="002A3A47" w:rsidRDefault="00D1557C" w:rsidP="00C41FE2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Create an Exhibit - $10,000 and up (varies according to the scope of the project)  </w:t>
            </w:r>
          </w:p>
          <w:p w:rsidR="00D1557C" w:rsidRPr="00C41FE2" w:rsidRDefault="00D1557C" w:rsidP="00D1557C">
            <w:pPr>
              <w:pStyle w:val="ListParagraph"/>
              <w:widowControl w:val="0"/>
              <w:numPr>
                <w:ilvl w:val="1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Sponsor a Collection - $25,000 and up (varies according to the scope of the project)</w:t>
            </w:r>
          </w:p>
        </w:tc>
        <w:tc>
          <w:tcPr>
            <w:tcW w:w="3798" w:type="dxa"/>
            <w:vMerge/>
          </w:tcPr>
          <w:p w:rsidR="00D1557C" w:rsidRDefault="00D1557C" w:rsidP="00C41FE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</w:p>
        </w:tc>
      </w:tr>
    </w:tbl>
    <w:p w:rsidR="00086B4F" w:rsidRPr="00086B4F" w:rsidRDefault="00086B4F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4"/>
          <w:szCs w:val="24"/>
        </w:rPr>
      </w:pPr>
    </w:p>
    <w:p w:rsidR="00C41FE2" w:rsidRDefault="00C41FE2" w:rsidP="00C41FE2">
      <w:pPr>
        <w:widowControl w:val="0"/>
        <w:jc w:val="both"/>
        <w:rPr>
          <w:rFonts w:ascii="Times New Roman" w:hAnsi="Times New Roman" w:cs="Times New Roman"/>
          <w:b/>
          <w:bCs/>
          <w:color w:val="5B3B00"/>
          <w:sz w:val="24"/>
          <w:szCs w:val="24"/>
        </w:rPr>
      </w:pPr>
      <w:r w:rsidRPr="002A3A47">
        <w:rPr>
          <w:rFonts w:ascii="Times New Roman" w:hAnsi="Times New Roman" w:cs="Times New Roman"/>
          <w:b/>
          <w:bCs/>
          <w:color w:val="5B3B00"/>
          <w:sz w:val="24"/>
          <w:szCs w:val="24"/>
        </w:rPr>
        <w:t xml:space="preserve">Grants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C41FE2" w:rsidTr="00086B4F">
        <w:tc>
          <w:tcPr>
            <w:tcW w:w="3618" w:type="dxa"/>
          </w:tcPr>
          <w:p w:rsidR="00C41FE2" w:rsidRP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Objectives</w:t>
            </w:r>
          </w:p>
        </w:tc>
        <w:tc>
          <w:tcPr>
            <w:tcW w:w="5958" w:type="dxa"/>
          </w:tcPr>
          <w:p w:rsidR="00C41FE2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2013 Update</w:t>
            </w:r>
          </w:p>
        </w:tc>
      </w:tr>
      <w:tr w:rsidR="00C41FE2" w:rsidTr="00086B4F">
        <w:tc>
          <w:tcPr>
            <w:tcW w:w="3618" w:type="dxa"/>
          </w:tcPr>
          <w:p w:rsidR="00C41FE2" w:rsidRPr="00C41FE2" w:rsidRDefault="00C41FE2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D</w:t>
            </w: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evelop at least one proposal for a project of more than $100,000</w:t>
            </w:r>
          </w:p>
        </w:tc>
        <w:tc>
          <w:tcPr>
            <w:tcW w:w="5958" w:type="dxa"/>
          </w:tcPr>
          <w:p w:rsidR="00D1557C" w:rsidRPr="00D1557C" w:rsidRDefault="00053F99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hyperlink r:id="rId6" w:history="1">
              <w:r w:rsidR="00D1557C"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Florida and Puerto Rico Newspaper Project (NEH),” 2013-2015</w:t>
              </w:r>
            </w:hyperlink>
            <w:r w:rsid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</w:t>
            </w:r>
            <w:r w:rsidR="00D1557C"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(submitted, awaiting notification) 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(UF</w:t>
            </w:r>
            <w:r w:rsidR="00086B4F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 &amp; UPR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)</w:t>
            </w:r>
          </w:p>
          <w:p w:rsidR="00D1557C" w:rsidRPr="00086B4F" w:rsidRDefault="00D1557C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10"/>
                <w:szCs w:val="24"/>
              </w:rPr>
            </w:pPr>
          </w:p>
          <w:p w:rsidR="00D1557C" w:rsidRPr="00D1557C" w:rsidRDefault="00053F99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hyperlink r:id="rId7" w:history="1">
              <w:r w:rsidR="00D1557C"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“Making Revolutionary Cuba, 1946-1959 (NEH),” 2013-2014</w:t>
              </w:r>
            </w:hyperlink>
            <w:r w:rsidR="00D1557C"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(submitted, awaiting notification) 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(UF)</w:t>
            </w:r>
          </w:p>
          <w:p w:rsidR="00D1557C" w:rsidRPr="00086B4F" w:rsidRDefault="00D1557C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10"/>
                <w:szCs w:val="24"/>
              </w:rPr>
            </w:pPr>
          </w:p>
          <w:p w:rsidR="00D1557C" w:rsidRPr="00D1557C" w:rsidRDefault="00053F99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hyperlink r:id="rId8" w:history="1">
              <w:r w:rsidR="00D1557C"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“The Panama Canal - Preserving a Legacy, Celebrating a Centennial, Leveraging an Extraordinary Human Achievement,” 2012-2015</w:t>
              </w:r>
            </w:hyperlink>
            <w:r w:rsidR="00D1557C"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(IMLS, awarded) 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(UF)</w:t>
            </w:r>
          </w:p>
          <w:p w:rsidR="00D1557C" w:rsidRPr="00086B4F" w:rsidRDefault="00D1557C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10"/>
                <w:szCs w:val="24"/>
              </w:rPr>
            </w:pPr>
          </w:p>
          <w:p w:rsidR="00C41FE2" w:rsidRDefault="00053F99" w:rsidP="00D1557C">
            <w:pPr>
              <w:widowControl w:val="0"/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hyperlink r:id="rId9" w:history="1">
              <w:r w:rsidR="00D1557C"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Archive of Haitian Religion and Culture</w:t>
              </w:r>
            </w:hyperlink>
            <w:r w:rsidR="00D1557C"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(NEH Collaborative Research, 2012-2015)</w:t>
            </w:r>
            <w:r w:rsid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(UF</w:t>
            </w:r>
            <w:r w:rsid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 &amp; Duke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)</w:t>
            </w:r>
          </w:p>
        </w:tc>
      </w:tr>
      <w:tr w:rsidR="00C41FE2" w:rsidTr="00086B4F">
        <w:tc>
          <w:tcPr>
            <w:tcW w:w="3618" w:type="dxa"/>
          </w:tcPr>
          <w:p w:rsidR="00C41FE2" w:rsidRPr="00C41FE2" w:rsidRDefault="00C41FE2" w:rsidP="00C41FE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D</w:t>
            </w:r>
            <w:r w:rsidRPr="002A3A4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evelop at least two proposals for projects less than $100,000</w:t>
            </w:r>
          </w:p>
        </w:tc>
        <w:tc>
          <w:tcPr>
            <w:tcW w:w="5958" w:type="dxa"/>
          </w:tcPr>
          <w:p w:rsidR="00D1557C" w:rsidRPr="00D1557C" w:rsidRDefault="00D1557C" w:rsidP="00D1557C">
            <w:pPr>
              <w:widowControl w:val="0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Latin American Research Resources </w:t>
            </w:r>
            <w:hyperlink r:id="rId10" w:history="1">
              <w:r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 xml:space="preserve">El </w:t>
              </w:r>
              <w:proofErr w:type="spellStart"/>
              <w:r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Mundo</w:t>
              </w:r>
              <w:proofErr w:type="spellEnd"/>
              <w:r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 xml:space="preserve"> newspaper from Puerto Rico – 1936,” 2013-2014</w:t>
              </w:r>
            </w:hyperlink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(LARRP, awarded) </w:t>
            </w:r>
            <w:r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(FIU</w:t>
            </w:r>
            <w: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 &amp; UPR</w:t>
            </w:r>
            <w:r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)</w:t>
            </w:r>
            <w:r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   </w:t>
            </w:r>
          </w:p>
          <w:p w:rsidR="00C41FE2" w:rsidRPr="00086B4F" w:rsidRDefault="00C41FE2" w:rsidP="00C41FE2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5B3B00"/>
                <w:sz w:val="10"/>
                <w:szCs w:val="24"/>
              </w:rPr>
            </w:pPr>
          </w:p>
          <w:p w:rsidR="00D1557C" w:rsidRPr="00086B4F" w:rsidRDefault="00053F99" w:rsidP="00086B4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  <w:hyperlink r:id="rId11" w:history="1">
              <w:r w:rsidR="00D1557C" w:rsidRPr="00D1557C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</w:rPr>
                <w:t>“From the Colonial to the Digital Archive: Caribbean Literature and History,” 2013</w:t>
              </w:r>
            </w:hyperlink>
            <w:r w:rsidR="00086B4F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(UF internal </w:t>
            </w:r>
            <w:r w:rsidR="00D1557C" w:rsidRPr="00D1557C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grant, awarded)  </w:t>
            </w:r>
            <w:r w:rsidR="00D1557C" w:rsidRPr="00D1557C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(UF)</w:t>
            </w:r>
          </w:p>
        </w:tc>
      </w:tr>
    </w:tbl>
    <w:p w:rsidR="00C00B2B" w:rsidRDefault="00C00B2B"/>
    <w:sectPr w:rsidR="00C00B2B" w:rsidSect="00086B4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343"/>
    <w:multiLevelType w:val="hybridMultilevel"/>
    <w:tmpl w:val="7FF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6195C">
      <w:start w:val="1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C69"/>
    <w:multiLevelType w:val="hybridMultilevel"/>
    <w:tmpl w:val="601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2"/>
    <w:rsid w:val="00015EB4"/>
    <w:rsid w:val="00053F99"/>
    <w:rsid w:val="00086B4F"/>
    <w:rsid w:val="0013600E"/>
    <w:rsid w:val="001830D0"/>
    <w:rsid w:val="002328F0"/>
    <w:rsid w:val="00260A1A"/>
    <w:rsid w:val="002C612C"/>
    <w:rsid w:val="00375112"/>
    <w:rsid w:val="007A3B38"/>
    <w:rsid w:val="00880123"/>
    <w:rsid w:val="00C00B2B"/>
    <w:rsid w:val="00C41FE2"/>
    <w:rsid w:val="00D1557C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E2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C4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557C"/>
    <w:rPr>
      <w:color w:val="0000FF"/>
      <w:u w:val="single"/>
    </w:rPr>
  </w:style>
  <w:style w:type="paragraph" w:styleId="NoSpacing">
    <w:name w:val="No Spacing"/>
    <w:uiPriority w:val="1"/>
    <w:qFormat/>
    <w:rsid w:val="00D1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E2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C4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557C"/>
    <w:rPr>
      <w:color w:val="0000FF"/>
      <w:u w:val="single"/>
    </w:rPr>
  </w:style>
  <w:style w:type="paragraph" w:styleId="NoSpacing">
    <w:name w:val="No Spacing"/>
    <w:uiPriority w:val="1"/>
    <w:qFormat/>
    <w:rsid w:val="00D1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oc.com/AA00009715/000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loc.com/AA0001498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oc.com/AA00013482" TargetMode="External"/><Relationship Id="rId11" Type="http://schemas.openxmlformats.org/officeDocument/2006/relationships/hyperlink" Target="http://www.dloc.com/AA000132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loc.com/AA0001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oc.com/AA00008614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wooldridgeb</dc:creator>
  <cp:lastModifiedBy>Windows User</cp:lastModifiedBy>
  <cp:revision>8</cp:revision>
  <cp:lastPrinted>2013-08-15T10:42:00Z</cp:lastPrinted>
  <dcterms:created xsi:type="dcterms:W3CDTF">2013-08-15T10:40:00Z</dcterms:created>
  <dcterms:modified xsi:type="dcterms:W3CDTF">2013-08-15T10:43:00Z</dcterms:modified>
</cp:coreProperties>
</file>