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C7" w:rsidRPr="00336D5C" w:rsidRDefault="00952EC7" w:rsidP="00952EC7">
      <w:pPr>
        <w:rPr>
          <w:rFonts w:ascii="Verdana" w:hAnsi="Verdana" w:cs="Verdana"/>
          <w:b/>
          <w:color w:val="4D4E50"/>
          <w:sz w:val="36"/>
          <w:szCs w:val="36"/>
          <w:u w:val="single"/>
        </w:rPr>
      </w:pPr>
      <w:r w:rsidRPr="00336D5C">
        <w:rPr>
          <w:rFonts w:ascii="Verdana" w:hAnsi="Verdana" w:cs="Verdana"/>
          <w:b/>
          <w:color w:val="4D4E50"/>
          <w:sz w:val="36"/>
          <w:szCs w:val="36"/>
          <w:u w:val="single"/>
        </w:rPr>
        <w:t>Sociology</w:t>
      </w:r>
    </w:p>
    <w:p w:rsidR="00952EC7" w:rsidRPr="00B2486B" w:rsidRDefault="00952EC7" w:rsidP="00952EC7">
      <w:pPr>
        <w:rPr>
          <w:rFonts w:ascii="Verdana" w:hAnsi="Verdana" w:cs="Verdana"/>
          <w:color w:val="4D4E50"/>
          <w:szCs w:val="24"/>
        </w:rPr>
      </w:pPr>
      <w:r>
        <w:rPr>
          <w:rFonts w:ascii="Verdana" w:hAnsi="Verdana" w:cs="Verdana"/>
          <w:color w:val="222323"/>
          <w:sz w:val="32"/>
          <w:szCs w:val="32"/>
        </w:rPr>
        <w:t>Details</w:t>
      </w: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7549"/>
      </w:tblGrid>
      <w:tr w:rsidR="00952EC7" w:rsidTr="00952EC7">
        <w:tblPrEx>
          <w:tblCellMar>
            <w:top w:w="0" w:type="dxa"/>
            <w:bottom w:w="0" w:type="dxa"/>
          </w:tblCellMar>
        </w:tblPrEx>
        <w:tc>
          <w:tcPr>
            <w:tcW w:w="16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t>Publish Date</w:t>
            </w:r>
          </w:p>
        </w:tc>
        <w:tc>
          <w:tcPr>
            <w:tcW w:w="99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t>June 2012</w:t>
            </w:r>
          </w:p>
        </w:tc>
      </w:tr>
      <w:tr w:rsidR="00952EC7" w:rsidTr="00952EC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t>ISBN-10</w:t>
            </w:r>
          </w:p>
        </w:tc>
        <w:tc>
          <w:tcPr>
            <w:tcW w:w="99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t>1938168011</w:t>
            </w:r>
            <w:bookmarkStart w:id="0" w:name="_GoBack"/>
            <w:bookmarkEnd w:id="0"/>
          </w:p>
        </w:tc>
      </w:tr>
      <w:tr w:rsidR="00952EC7" w:rsidTr="00952EC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t>ISBN-13</w:t>
            </w:r>
          </w:p>
        </w:tc>
        <w:tc>
          <w:tcPr>
            <w:tcW w:w="99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t>978-1-938168-01-7</w:t>
            </w:r>
          </w:p>
        </w:tc>
      </w:tr>
      <w:tr w:rsidR="00952EC7" w:rsidTr="00952EC7">
        <w:tblPrEx>
          <w:tblCellMar>
            <w:top w:w="0" w:type="dxa"/>
            <w:bottom w:w="0" w:type="dxa"/>
          </w:tblCellMar>
        </w:tblPrEx>
        <w:tc>
          <w:tcPr>
            <w:tcW w:w="16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t>License</w:t>
            </w:r>
          </w:p>
        </w:tc>
        <w:tc>
          <w:tcPr>
            <w:tcW w:w="9960" w:type="dxa"/>
            <w:tcMar>
              <w:top w:w="160" w:type="nil"/>
              <w:left w:w="60" w:type="nil"/>
              <w:bottom w:w="60" w:type="nil"/>
              <w:right w:w="160" w:type="nil"/>
            </w:tcMar>
          </w:tcPr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739D3A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fldChar w:fldCharType="begin"/>
            </w:r>
            <w:r>
              <w:rPr>
                <w:rFonts w:ascii="Verdana" w:hAnsi="Verdana" w:cs="Verdana"/>
                <w:color w:val="4D4E50"/>
                <w:sz w:val="26"/>
                <w:szCs w:val="26"/>
              </w:rPr>
              <w:instrText>HYPERLINK "http://creativecommons.org/licenses/by/3.0/"</w:instrText>
            </w:r>
            <w:r w:rsidRPr="00CD2E96">
              <w:rPr>
                <w:rFonts w:ascii="Verdana" w:hAnsi="Verdana" w:cs="Verdana"/>
                <w:color w:val="4D4E50"/>
                <w:sz w:val="26"/>
                <w:szCs w:val="26"/>
              </w:rPr>
            </w:r>
            <w:r>
              <w:rPr>
                <w:rFonts w:ascii="Verdana" w:hAnsi="Verdana" w:cs="Verdana"/>
                <w:color w:val="4D4E50"/>
                <w:sz w:val="26"/>
                <w:szCs w:val="26"/>
              </w:rPr>
              <w:fldChar w:fldCharType="separate"/>
            </w:r>
          </w:p>
          <w:p w:rsidR="00952EC7" w:rsidRDefault="00952EC7" w:rsidP="00992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4D4E50"/>
                <w:sz w:val="26"/>
                <w:szCs w:val="26"/>
              </w:rPr>
            </w:pPr>
            <w:r>
              <w:rPr>
                <w:rFonts w:ascii="Verdana" w:hAnsi="Verdana" w:cs="Verdana"/>
                <w:color w:val="4D4E50"/>
                <w:sz w:val="26"/>
                <w:szCs w:val="26"/>
              </w:rPr>
              <w:fldChar w:fldCharType="end"/>
            </w:r>
            <w:r>
              <w:rPr>
                <w:rFonts w:ascii="Verdana" w:hAnsi="Verdana" w:cs="Verdana"/>
                <w:i/>
                <w:iCs/>
                <w:color w:val="4D4E50"/>
                <w:sz w:val="26"/>
                <w:szCs w:val="26"/>
              </w:rPr>
              <w:t>Introduction to Sociology</w:t>
            </w:r>
            <w:r>
              <w:rPr>
                <w:rFonts w:ascii="Verdana" w:hAnsi="Verdana" w:cs="Verdana"/>
                <w:color w:val="4D4E50"/>
                <w:sz w:val="26"/>
                <w:szCs w:val="26"/>
              </w:rPr>
              <w:t xml:space="preserve"> by </w:t>
            </w:r>
            <w:hyperlink r:id="rId6" w:history="1">
              <w:proofErr w:type="spellStart"/>
              <w:r>
                <w:rPr>
                  <w:rFonts w:ascii="Verdana" w:hAnsi="Verdana" w:cs="Verdana"/>
                  <w:color w:val="739D3A"/>
                  <w:sz w:val="26"/>
                  <w:szCs w:val="26"/>
                </w:rPr>
                <w:t>OpenStax</w:t>
              </w:r>
              <w:proofErr w:type="spellEnd"/>
              <w:r>
                <w:rPr>
                  <w:rFonts w:ascii="Verdana" w:hAnsi="Verdana" w:cs="Verdana"/>
                  <w:color w:val="739D3A"/>
                  <w:sz w:val="26"/>
                  <w:szCs w:val="26"/>
                </w:rPr>
                <w:t xml:space="preserve"> College</w:t>
              </w:r>
            </w:hyperlink>
            <w:r>
              <w:rPr>
                <w:rFonts w:ascii="Verdana" w:hAnsi="Verdana" w:cs="Verdana"/>
                <w:color w:val="4D4E50"/>
                <w:sz w:val="26"/>
                <w:szCs w:val="26"/>
              </w:rPr>
              <w:t xml:space="preserve"> is licensed under a </w:t>
            </w:r>
            <w:hyperlink r:id="rId7" w:history="1">
              <w:r>
                <w:rPr>
                  <w:rFonts w:ascii="Verdana" w:hAnsi="Verdana" w:cs="Verdana"/>
                  <w:color w:val="739D3A"/>
                  <w:sz w:val="26"/>
                  <w:szCs w:val="26"/>
                </w:rPr>
                <w:t xml:space="preserve">Creative Commons Attribution 3.0 </w:t>
              </w:r>
              <w:proofErr w:type="spellStart"/>
              <w:r>
                <w:rPr>
                  <w:rFonts w:ascii="Verdana" w:hAnsi="Verdana" w:cs="Verdana"/>
                  <w:color w:val="739D3A"/>
                  <w:sz w:val="26"/>
                  <w:szCs w:val="26"/>
                </w:rPr>
                <w:t>Unported</w:t>
              </w:r>
              <w:proofErr w:type="spellEnd"/>
              <w:r>
                <w:rPr>
                  <w:rFonts w:ascii="Verdana" w:hAnsi="Verdana" w:cs="Verdana"/>
                  <w:color w:val="739D3A"/>
                  <w:sz w:val="26"/>
                  <w:szCs w:val="26"/>
                </w:rPr>
                <w:t xml:space="preserve"> License</w:t>
              </w:r>
            </w:hyperlink>
            <w:r>
              <w:rPr>
                <w:rFonts w:ascii="Verdana" w:hAnsi="Verdana" w:cs="Verdana"/>
                <w:color w:val="4D4E50"/>
                <w:sz w:val="26"/>
                <w:szCs w:val="26"/>
              </w:rPr>
              <w:t>.</w:t>
            </w:r>
          </w:p>
        </w:tc>
      </w:tr>
    </w:tbl>
    <w:p w:rsidR="00952EC7" w:rsidRDefault="00952EC7" w:rsidP="00952EC7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222323"/>
          <w:sz w:val="32"/>
          <w:szCs w:val="32"/>
        </w:rPr>
      </w:pPr>
    </w:p>
    <w:p w:rsidR="00952EC7" w:rsidRDefault="00952EC7" w:rsidP="00952EC7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222323"/>
          <w:sz w:val="32"/>
          <w:szCs w:val="32"/>
        </w:rPr>
      </w:pPr>
      <w:r>
        <w:rPr>
          <w:rFonts w:ascii="Verdana" w:hAnsi="Verdana" w:cs="Verdana"/>
          <w:color w:val="222323"/>
          <w:sz w:val="32"/>
          <w:szCs w:val="32"/>
        </w:rPr>
        <w:t>For Faculty</w:t>
      </w:r>
    </w:p>
    <w:p w:rsidR="00952EC7" w:rsidRDefault="00952EC7" w:rsidP="00952E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Verdana" w:hAnsi="Verdana" w:cs="Verdana"/>
          <w:color w:val="4D4E50"/>
          <w:sz w:val="26"/>
          <w:szCs w:val="26"/>
        </w:rPr>
      </w:pPr>
      <w:hyperlink r:id="rId8" w:history="1">
        <w:r>
          <w:rPr>
            <w:rFonts w:ascii="Verdana" w:hAnsi="Verdana" w:cs="Verdana"/>
            <w:color w:val="739D3A"/>
            <w:sz w:val="26"/>
            <w:szCs w:val="26"/>
          </w:rPr>
          <w:t>Development standards</w:t>
        </w:r>
      </w:hyperlink>
    </w:p>
    <w:p w:rsidR="00952EC7" w:rsidRDefault="00952EC7" w:rsidP="00952E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Verdana" w:hAnsi="Verdana" w:cs="Verdana"/>
          <w:color w:val="4D4E50"/>
          <w:sz w:val="26"/>
          <w:szCs w:val="26"/>
        </w:rPr>
      </w:pPr>
      <w:hyperlink r:id="rId9" w:history="1">
        <w:r>
          <w:rPr>
            <w:rFonts w:ascii="Verdana" w:hAnsi="Verdana" w:cs="Verdana"/>
            <w:color w:val="739D3A"/>
            <w:sz w:val="26"/>
            <w:szCs w:val="26"/>
          </w:rPr>
          <w:t>Request a comp copy</w:t>
        </w:r>
      </w:hyperlink>
      <w:r>
        <w:rPr>
          <w:rFonts w:ascii="Verdana" w:hAnsi="Verdana" w:cs="Verdana"/>
          <w:color w:val="4D4E50"/>
          <w:sz w:val="26"/>
          <w:szCs w:val="26"/>
        </w:rPr>
        <w:t xml:space="preserve"> (faculty verification required)</w:t>
      </w:r>
    </w:p>
    <w:p w:rsidR="00952EC7" w:rsidRDefault="00952EC7" w:rsidP="00952E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Verdana" w:hAnsi="Verdana" w:cs="Verdana"/>
          <w:color w:val="4D4E50"/>
          <w:sz w:val="26"/>
          <w:szCs w:val="26"/>
        </w:rPr>
      </w:pPr>
      <w:hyperlink r:id="rId10" w:history="1">
        <w:r>
          <w:rPr>
            <w:rFonts w:ascii="Verdana" w:hAnsi="Verdana" w:cs="Verdana"/>
            <w:color w:val="739D3A"/>
            <w:sz w:val="26"/>
            <w:szCs w:val="26"/>
          </w:rPr>
          <w:t>Create my own version</w:t>
        </w:r>
      </w:hyperlink>
    </w:p>
    <w:p w:rsidR="00952EC7" w:rsidRDefault="00952EC7" w:rsidP="00952EC7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222323"/>
          <w:sz w:val="32"/>
          <w:szCs w:val="32"/>
        </w:rPr>
      </w:pPr>
    </w:p>
    <w:p w:rsidR="00952EC7" w:rsidRDefault="00952EC7" w:rsidP="00952EC7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222323"/>
          <w:sz w:val="32"/>
          <w:szCs w:val="32"/>
        </w:rPr>
      </w:pPr>
      <w:r>
        <w:rPr>
          <w:rFonts w:ascii="Verdana" w:hAnsi="Verdana" w:cs="Verdana"/>
          <w:color w:val="222323"/>
          <w:sz w:val="32"/>
          <w:szCs w:val="32"/>
        </w:rPr>
        <w:t>Learning Resources</w:t>
      </w:r>
    </w:p>
    <w:p w:rsidR="00952EC7" w:rsidRDefault="00952EC7" w:rsidP="00952E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Verdana" w:hAnsi="Verdana" w:cs="Verdana"/>
          <w:color w:val="4D4E50"/>
          <w:sz w:val="26"/>
          <w:szCs w:val="26"/>
        </w:rPr>
      </w:pPr>
      <w:hyperlink r:id="rId11" w:history="1">
        <w:r>
          <w:rPr>
            <w:rFonts w:ascii="Verdana" w:hAnsi="Verdana" w:cs="Verdana"/>
            <w:color w:val="739D3A"/>
            <w:sz w:val="26"/>
            <w:szCs w:val="26"/>
          </w:rPr>
          <w:t>Sociology Test Bank</w:t>
        </w:r>
      </w:hyperlink>
      <w:r>
        <w:rPr>
          <w:rFonts w:ascii="Verdana" w:hAnsi="Verdana" w:cs="Verdana"/>
          <w:color w:val="4D4E50"/>
          <w:sz w:val="26"/>
          <w:szCs w:val="26"/>
        </w:rPr>
        <w:t xml:space="preserve"> (faculty only) </w:t>
      </w:r>
      <w:proofErr w:type="gramStart"/>
      <w:r>
        <w:rPr>
          <w:rFonts w:ascii="Verdana" w:hAnsi="Verdana" w:cs="Verdana"/>
          <w:color w:val="4D4E50"/>
          <w:szCs w:val="24"/>
        </w:rPr>
        <w:t>The</w:t>
      </w:r>
      <w:proofErr w:type="gramEnd"/>
      <w:r>
        <w:rPr>
          <w:rFonts w:ascii="Verdana" w:hAnsi="Verdana" w:cs="Verdana"/>
          <w:color w:val="4D4E50"/>
          <w:szCs w:val="24"/>
        </w:rPr>
        <w:t xml:space="preserve"> test bank provided with </w:t>
      </w:r>
      <w:proofErr w:type="spellStart"/>
      <w:r>
        <w:rPr>
          <w:rFonts w:ascii="Verdana" w:hAnsi="Verdana" w:cs="Verdana"/>
          <w:color w:val="4D4E50"/>
          <w:szCs w:val="24"/>
        </w:rPr>
        <w:t>OpenStax</w:t>
      </w:r>
      <w:proofErr w:type="spellEnd"/>
      <w:r>
        <w:rPr>
          <w:rFonts w:ascii="Verdana" w:hAnsi="Verdana" w:cs="Verdana"/>
          <w:color w:val="4D4E50"/>
          <w:szCs w:val="24"/>
        </w:rPr>
        <w:t xml:space="preserve"> College Introduction to Sociology includes questions that can be used for examination purposes. The test questions are mapped to relevant chapters of Introduction to Sociology. This is a restricted item requiring faculty registration. </w:t>
      </w:r>
    </w:p>
    <w:p w:rsidR="00952EC7" w:rsidRDefault="00952EC7" w:rsidP="00952E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Verdana" w:hAnsi="Verdana" w:cs="Verdana"/>
          <w:color w:val="4D4E50"/>
          <w:sz w:val="26"/>
          <w:szCs w:val="26"/>
        </w:rPr>
      </w:pPr>
      <w:hyperlink r:id="rId12" w:history="1">
        <w:r>
          <w:rPr>
            <w:rFonts w:ascii="Verdana" w:hAnsi="Verdana" w:cs="Verdana"/>
            <w:color w:val="739D3A"/>
            <w:sz w:val="26"/>
            <w:szCs w:val="26"/>
          </w:rPr>
          <w:t>PowerPoint Slides</w:t>
        </w:r>
      </w:hyperlink>
      <w:r>
        <w:rPr>
          <w:rFonts w:ascii="Verdana" w:hAnsi="Verdana" w:cs="Verdana"/>
          <w:color w:val="4D4E50"/>
          <w:sz w:val="26"/>
          <w:szCs w:val="26"/>
        </w:rPr>
        <w:t xml:space="preserve"> (faculty only) </w:t>
      </w:r>
      <w:r>
        <w:rPr>
          <w:rFonts w:ascii="Verdana" w:hAnsi="Verdana" w:cs="Verdana"/>
          <w:color w:val="4D4E50"/>
          <w:szCs w:val="24"/>
        </w:rPr>
        <w:t xml:space="preserve">These PowerPoint slides are based on the extensive illustrations from </w:t>
      </w:r>
      <w:proofErr w:type="spellStart"/>
      <w:r>
        <w:rPr>
          <w:rFonts w:ascii="Verdana" w:hAnsi="Verdana" w:cs="Verdana"/>
          <w:color w:val="4D4E50"/>
          <w:szCs w:val="24"/>
        </w:rPr>
        <w:t>OpenStax</w:t>
      </w:r>
      <w:proofErr w:type="spellEnd"/>
      <w:r>
        <w:rPr>
          <w:rFonts w:ascii="Verdana" w:hAnsi="Verdana" w:cs="Verdana"/>
          <w:color w:val="4D4E50"/>
          <w:szCs w:val="24"/>
        </w:rPr>
        <w:t xml:space="preserve"> College Introduction to Sociology. Perfect for use in your lectures, you are free edit these slides and share this resource with anyone in your community. However, this is a restricted item requiring faculty registration. </w:t>
      </w:r>
    </w:p>
    <w:p w:rsidR="00952EC7" w:rsidRDefault="00952EC7" w:rsidP="00952EC7"/>
    <w:p w:rsidR="00952EC7" w:rsidRDefault="00952EC7" w:rsidP="00952EC7"/>
    <w:p w:rsidR="00BF2D1E" w:rsidRDefault="00BF2D1E"/>
    <w:sectPr w:rsidR="00BF2D1E" w:rsidSect="008149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C7"/>
    <w:rsid w:val="00336D5C"/>
    <w:rsid w:val="00413C89"/>
    <w:rsid w:val="00952EC7"/>
    <w:rsid w:val="00B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ss"/>
    <w:qFormat/>
    <w:rsid w:val="00952EC7"/>
    <w:pPr>
      <w:spacing w:after="0" w:line="48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ss"/>
    <w:qFormat/>
    <w:rsid w:val="00952EC7"/>
    <w:pPr>
      <w:spacing w:after="0" w:line="48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staxcollege.org/faculty#development_standard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/3.0/" TargetMode="External"/><Relationship Id="rId12" Type="http://schemas.openxmlformats.org/officeDocument/2006/relationships/hyperlink" Target="http://openstaxcollege.org/secure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x.org/content/col11407/1.7/" TargetMode="External"/><Relationship Id="rId11" Type="http://schemas.openxmlformats.org/officeDocument/2006/relationships/hyperlink" Target="http://openstaxcollege.org/secure/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penstaxcollege.org/textbooks/introduction-to-sociology/ada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staxcollege.org/textbooks/introduction-to-sociology/comp_alternativ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2013-03-07T18:48:00Z</cp:lastPrinted>
  <dcterms:created xsi:type="dcterms:W3CDTF">2013-03-07T18:42:00Z</dcterms:created>
  <dcterms:modified xsi:type="dcterms:W3CDTF">2013-03-07T18:49:00Z</dcterms:modified>
</cp:coreProperties>
</file>