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3FC" w:rsidRPr="00AB285A" w:rsidRDefault="00E623FC" w:rsidP="00E623FC">
      <w:pPr>
        <w:spacing w:after="0"/>
        <w:jc w:val="center"/>
        <w:rPr>
          <w:rFonts w:cstheme="minorHAnsi"/>
          <w:b/>
        </w:rPr>
      </w:pPr>
      <w:r w:rsidRPr="00CE1D8F">
        <w:rPr>
          <w:rFonts w:cstheme="minorHAnsi"/>
          <w:b/>
          <w:sz w:val="32"/>
          <w:szCs w:val="32"/>
        </w:rPr>
        <w:t>Africana Bibliography (AFS 5061)</w:t>
      </w:r>
      <w:r w:rsidR="00C7463A">
        <w:rPr>
          <w:rFonts w:cstheme="minorHAnsi"/>
          <w:b/>
          <w:sz w:val="32"/>
          <w:szCs w:val="32"/>
        </w:rPr>
        <w:t>: Handout</w:t>
      </w:r>
      <w:r w:rsidRPr="00AB285A">
        <w:rPr>
          <w:rFonts w:cstheme="minorHAnsi"/>
          <w:b/>
        </w:rPr>
        <w:br/>
      </w:r>
      <w:hyperlink r:id="rId8" w:history="1">
        <w:r w:rsidRPr="00AB285A">
          <w:rPr>
            <w:rStyle w:val="Hyperlink"/>
            <w:rFonts w:cstheme="minorHAnsi"/>
          </w:rPr>
          <w:t>http://guides.uflib.ufl.edu/content.php?pid=6493&amp;sid=1480100</w:t>
        </w:r>
      </w:hyperlink>
    </w:p>
    <w:p w:rsidR="00E623FC" w:rsidRPr="00AB285A" w:rsidRDefault="00E623FC" w:rsidP="00E623FC">
      <w:pPr>
        <w:spacing w:after="0"/>
        <w:rPr>
          <w:rFonts w:cstheme="minorHAnsi"/>
          <w:b/>
        </w:rPr>
      </w:pPr>
    </w:p>
    <w:p w:rsidR="00E623FC" w:rsidRPr="00AB285A" w:rsidRDefault="00E623FC" w:rsidP="00E623FC">
      <w:pPr>
        <w:spacing w:after="0"/>
        <w:rPr>
          <w:rFonts w:cstheme="minorHAnsi"/>
          <w:i/>
        </w:rPr>
      </w:pPr>
      <w:r w:rsidRPr="00AB285A">
        <w:rPr>
          <w:rFonts w:cstheme="minorHAnsi"/>
          <w:i/>
        </w:rPr>
        <w:t xml:space="preserve">Scholarly </w:t>
      </w:r>
      <w:r w:rsidR="009A7B5F">
        <w:rPr>
          <w:rFonts w:cstheme="minorHAnsi"/>
          <w:i/>
        </w:rPr>
        <w:t>communications</w:t>
      </w:r>
      <w:r w:rsidRPr="00AB285A">
        <w:rPr>
          <w:rFonts w:cstheme="minorHAnsi"/>
          <w:i/>
        </w:rPr>
        <w:t>, Institutional Repositories, author permissions/rights</w:t>
      </w:r>
    </w:p>
    <w:p w:rsidR="00E623FC" w:rsidRDefault="00E623FC" w:rsidP="00E623FC">
      <w:pPr>
        <w:spacing w:after="0"/>
        <w:rPr>
          <w:rFonts w:cstheme="minorHAnsi"/>
          <w:i/>
        </w:rPr>
      </w:pPr>
      <w:r w:rsidRPr="00AB285A">
        <w:rPr>
          <w:rFonts w:cstheme="minorHAnsi"/>
          <w:i/>
        </w:rPr>
        <w:t>Guest Lecturer: Laurie Taylor</w:t>
      </w:r>
    </w:p>
    <w:tbl>
      <w:tblPr>
        <w:tblStyle w:val="TableGrid"/>
        <w:tblpPr w:leftFromText="180" w:rightFromText="180" w:vertAnchor="text" w:horzAnchor="margin" w:tblpXSpec="right" w:tblpY="522"/>
        <w:tblOverlap w:val="never"/>
        <w:tblW w:w="0" w:type="auto"/>
        <w:tblLayout w:type="fixed"/>
        <w:tblLook w:val="04A0" w:firstRow="1" w:lastRow="0" w:firstColumn="1" w:lastColumn="0" w:noHBand="0" w:noVBand="1"/>
      </w:tblPr>
      <w:tblGrid>
        <w:gridCol w:w="3438"/>
      </w:tblGrid>
      <w:tr w:rsidR="009A7B5F" w:rsidTr="009A7B5F">
        <w:trPr>
          <w:trHeight w:val="5685"/>
        </w:trPr>
        <w:tc>
          <w:tcPr>
            <w:tcW w:w="3438" w:type="dxa"/>
          </w:tcPr>
          <w:p w:rsidR="009A7B5F" w:rsidRPr="007F7789" w:rsidRDefault="009A7B5F" w:rsidP="009A7B5F">
            <w:pPr>
              <w:rPr>
                <w:rFonts w:cstheme="minorHAnsi"/>
                <w:sz w:val="18"/>
                <w:szCs w:val="18"/>
              </w:rPr>
            </w:pPr>
            <w:r>
              <w:rPr>
                <w:noProof/>
              </w:rPr>
              <w:drawing>
                <wp:anchor distT="0" distB="0" distL="114300" distR="114300" simplePos="0" relativeHeight="251664384" behindDoc="0" locked="0" layoutInCell="1" allowOverlap="1" wp14:anchorId="3056C79E" wp14:editId="0C34C235">
                  <wp:simplePos x="0" y="0"/>
                  <wp:positionH relativeFrom="column">
                    <wp:posOffset>1270</wp:posOffset>
                  </wp:positionH>
                  <wp:positionV relativeFrom="paragraph">
                    <wp:posOffset>51435</wp:posOffset>
                  </wp:positionV>
                  <wp:extent cx="2057400" cy="3371850"/>
                  <wp:effectExtent l="19050" t="19050" r="19050" b="190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057400" cy="3371850"/>
                          </a:xfrm>
                          <a:prstGeom prst="rect">
                            <a:avLst/>
                          </a:prstGeom>
                          <a:ln>
                            <a:solidFill>
                              <a:srgbClr val="4F81BD"/>
                            </a:solidFill>
                          </a:ln>
                        </pic:spPr>
                      </pic:pic>
                    </a:graphicData>
                  </a:graphic>
                  <wp14:sizeRelH relativeFrom="page">
                    <wp14:pctWidth>0</wp14:pctWidth>
                  </wp14:sizeRelH>
                  <wp14:sizeRelV relativeFrom="page">
                    <wp14:pctHeight>0</wp14:pctHeight>
                  </wp14:sizeRelV>
                </wp:anchor>
              </w:drawing>
            </w:r>
            <w:r w:rsidRPr="007F7789">
              <w:rPr>
                <w:rFonts w:eastAsia="Times New Roman" w:cstheme="minorHAnsi"/>
                <w:i/>
              </w:rPr>
              <w:t xml:space="preserve"> </w:t>
            </w:r>
            <w:r w:rsidRPr="007F7789">
              <w:rPr>
                <w:rFonts w:eastAsia="Times New Roman" w:cstheme="minorHAnsi"/>
                <w:i/>
                <w:sz w:val="18"/>
                <w:szCs w:val="18"/>
              </w:rPr>
              <w:t>Permissions, A Survival Guide,</w:t>
            </w:r>
            <w:r w:rsidRPr="007F7789">
              <w:rPr>
                <w:rFonts w:eastAsia="Times New Roman" w:cstheme="minorHAnsi"/>
                <w:sz w:val="18"/>
                <w:szCs w:val="18"/>
              </w:rPr>
              <w:t xml:space="preserve"> Susan Bielstein</w:t>
            </w:r>
          </w:p>
          <w:p w:rsidR="009A7B5F" w:rsidRDefault="009A7B5F" w:rsidP="009A7B5F">
            <w:pPr>
              <w:pStyle w:val="ListParagraph"/>
              <w:ind w:left="0"/>
              <w:rPr>
                <w:rFonts w:eastAsia="Times New Roman" w:cstheme="minorHAnsi"/>
              </w:rPr>
            </w:pPr>
          </w:p>
        </w:tc>
      </w:tr>
    </w:tbl>
    <w:p w:rsidR="00E623FC" w:rsidRDefault="00E623FC" w:rsidP="00E623FC">
      <w:pPr>
        <w:spacing w:after="0"/>
        <w:rPr>
          <w:rFonts w:cstheme="minorHAnsi"/>
          <w:i/>
        </w:rPr>
      </w:pPr>
    </w:p>
    <w:p w:rsidR="009A7B5F" w:rsidRDefault="009A7B5F" w:rsidP="00E623FC">
      <w:pPr>
        <w:spacing w:after="0"/>
        <w:rPr>
          <w:rFonts w:cstheme="minorHAnsi"/>
          <w:i/>
        </w:rPr>
      </w:pPr>
    </w:p>
    <w:p w:rsidR="00E623FC" w:rsidRPr="00E623FC" w:rsidRDefault="00E623FC" w:rsidP="00E623FC">
      <w:pPr>
        <w:spacing w:after="0"/>
        <w:rPr>
          <w:rFonts w:cstheme="minorHAnsi"/>
          <w:b/>
        </w:rPr>
      </w:pPr>
      <w:r>
        <w:rPr>
          <w:rFonts w:cstheme="minorHAnsi"/>
          <w:b/>
        </w:rPr>
        <w:t xml:space="preserve">Today’s </w:t>
      </w:r>
      <w:r w:rsidRPr="00E623FC">
        <w:rPr>
          <w:rFonts w:cstheme="minorHAnsi"/>
          <w:b/>
        </w:rPr>
        <w:t xml:space="preserve">Topics </w:t>
      </w:r>
    </w:p>
    <w:p w:rsidR="009A7B5F" w:rsidRDefault="009A7B5F" w:rsidP="00E623FC">
      <w:pPr>
        <w:pStyle w:val="ListParagraph"/>
        <w:numPr>
          <w:ilvl w:val="0"/>
          <w:numId w:val="3"/>
        </w:numPr>
        <w:spacing w:after="0"/>
        <w:rPr>
          <w:rFonts w:cstheme="minorHAnsi"/>
        </w:rPr>
      </w:pPr>
      <w:r>
        <w:rPr>
          <w:rFonts w:cstheme="minorHAnsi"/>
        </w:rPr>
        <w:t>Scholarly communications</w:t>
      </w:r>
    </w:p>
    <w:p w:rsidR="00E623FC" w:rsidRPr="00AB285A" w:rsidRDefault="00E623FC" w:rsidP="00E623FC">
      <w:pPr>
        <w:pStyle w:val="ListParagraph"/>
        <w:numPr>
          <w:ilvl w:val="0"/>
          <w:numId w:val="3"/>
        </w:numPr>
        <w:spacing w:after="0"/>
        <w:rPr>
          <w:rFonts w:cstheme="minorHAnsi"/>
        </w:rPr>
      </w:pPr>
      <w:r w:rsidRPr="00AB285A">
        <w:rPr>
          <w:rFonts w:cstheme="minorHAnsi"/>
        </w:rPr>
        <w:t>Institutional Repositories</w:t>
      </w:r>
    </w:p>
    <w:p w:rsidR="00E623FC" w:rsidRDefault="00E623FC" w:rsidP="00E623FC">
      <w:pPr>
        <w:pStyle w:val="ListParagraph"/>
        <w:numPr>
          <w:ilvl w:val="0"/>
          <w:numId w:val="3"/>
        </w:numPr>
        <w:spacing w:after="0"/>
        <w:rPr>
          <w:rFonts w:cstheme="minorHAnsi"/>
        </w:rPr>
      </w:pPr>
      <w:r w:rsidRPr="00AB285A">
        <w:rPr>
          <w:rFonts w:cstheme="minorHAnsi"/>
        </w:rPr>
        <w:t>Author permissions/rights</w:t>
      </w:r>
    </w:p>
    <w:p w:rsidR="00E623FC" w:rsidRDefault="00E623FC" w:rsidP="00E623FC">
      <w:pPr>
        <w:pStyle w:val="ListParagraph"/>
        <w:numPr>
          <w:ilvl w:val="0"/>
          <w:numId w:val="3"/>
        </w:numPr>
        <w:spacing w:after="0"/>
        <w:rPr>
          <w:rFonts w:cstheme="minorHAnsi"/>
        </w:rPr>
      </w:pPr>
      <w:r>
        <w:rPr>
          <w:rFonts w:cstheme="minorHAnsi"/>
        </w:rPr>
        <w:t>Related resources and examples from UF</w:t>
      </w:r>
    </w:p>
    <w:p w:rsidR="00FC061C" w:rsidRDefault="00FC061C" w:rsidP="00E623FC">
      <w:pPr>
        <w:pStyle w:val="ListParagraph"/>
        <w:numPr>
          <w:ilvl w:val="0"/>
          <w:numId w:val="3"/>
        </w:numPr>
        <w:spacing w:after="0"/>
        <w:rPr>
          <w:rFonts w:cstheme="minorHAnsi"/>
        </w:rPr>
      </w:pPr>
      <w:r>
        <w:rPr>
          <w:rFonts w:cstheme="minorHAnsi"/>
        </w:rPr>
        <w:t>IR@UF Demonstration</w:t>
      </w:r>
    </w:p>
    <w:p w:rsidR="00FC061C" w:rsidRDefault="00FC061C" w:rsidP="009A7B5F">
      <w:pPr>
        <w:pStyle w:val="ListParagraph"/>
        <w:numPr>
          <w:ilvl w:val="1"/>
          <w:numId w:val="3"/>
        </w:numPr>
        <w:spacing w:after="0"/>
        <w:rPr>
          <w:rFonts w:cstheme="minorHAnsi"/>
        </w:rPr>
      </w:pPr>
      <w:r w:rsidRPr="009A7B5F">
        <w:rPr>
          <w:rFonts w:cstheme="minorHAnsi"/>
        </w:rPr>
        <w:t>Permissions forms</w:t>
      </w:r>
      <w:r w:rsidR="00CE1D8F">
        <w:rPr>
          <w:rFonts w:cstheme="minorHAnsi"/>
        </w:rPr>
        <w:t xml:space="preserve"> </w:t>
      </w:r>
      <w:r w:rsidR="009A7B5F">
        <w:rPr>
          <w:rFonts w:cstheme="minorHAnsi"/>
        </w:rPr>
        <w:t>(</w:t>
      </w:r>
      <w:hyperlink r:id="rId10" w:history="1">
        <w:r w:rsidR="009A7B5F" w:rsidRPr="00222CDE">
          <w:rPr>
            <w:rStyle w:val="Hyperlink"/>
            <w:rFonts w:cstheme="minorHAnsi"/>
          </w:rPr>
          <w:t>http://ufdc.ufl.edu/AA00004147</w:t>
        </w:r>
      </w:hyperlink>
      <w:r w:rsidR="009A7B5F">
        <w:rPr>
          <w:rFonts w:cstheme="minorHAnsi"/>
        </w:rPr>
        <w:t xml:space="preserve">) </w:t>
      </w:r>
    </w:p>
    <w:p w:rsidR="00E623FC" w:rsidRDefault="00FC061C" w:rsidP="009A7B5F">
      <w:pPr>
        <w:pStyle w:val="ListParagraph"/>
        <w:numPr>
          <w:ilvl w:val="1"/>
          <w:numId w:val="3"/>
        </w:numPr>
        <w:spacing w:after="0"/>
        <w:rPr>
          <w:rFonts w:cstheme="minorHAnsi"/>
        </w:rPr>
      </w:pPr>
      <w:r w:rsidRPr="009A7B5F">
        <w:rPr>
          <w:rFonts w:cstheme="minorHAnsi"/>
        </w:rPr>
        <w:t>IR@UF</w:t>
      </w:r>
      <w:r w:rsidR="00CE1D8F" w:rsidRPr="00C45950">
        <w:rPr>
          <w:rFonts w:cstheme="minorHAnsi"/>
        </w:rPr>
        <w:t xml:space="preserve"> </w:t>
      </w:r>
      <w:r w:rsidR="009A7B5F">
        <w:rPr>
          <w:rFonts w:cstheme="minorHAnsi"/>
        </w:rPr>
        <w:t>(</w:t>
      </w:r>
      <w:hyperlink r:id="rId11" w:history="1">
        <w:r w:rsidR="009A7B5F" w:rsidRPr="00222CDE">
          <w:rPr>
            <w:rStyle w:val="Hyperlink"/>
            <w:rFonts w:cstheme="minorHAnsi"/>
          </w:rPr>
          <w:t>http://ufdc.ufl.edu/ufirg</w:t>
        </w:r>
      </w:hyperlink>
      <w:r w:rsidR="009A7B5F">
        <w:rPr>
          <w:rFonts w:cstheme="minorHAnsi"/>
        </w:rPr>
        <w:t xml:space="preserve">) </w:t>
      </w:r>
    </w:p>
    <w:p w:rsidR="00C45950" w:rsidRDefault="00C45950" w:rsidP="00C45950">
      <w:pPr>
        <w:pStyle w:val="ListParagraph"/>
        <w:spacing w:after="0"/>
        <w:ind w:left="1440"/>
        <w:rPr>
          <w:rFonts w:cstheme="minorHAnsi"/>
        </w:rPr>
      </w:pPr>
    </w:p>
    <w:p w:rsidR="009A7B5F" w:rsidRDefault="009A7B5F" w:rsidP="00C45950">
      <w:pPr>
        <w:pStyle w:val="ListParagraph"/>
        <w:spacing w:after="0"/>
        <w:ind w:left="1440"/>
        <w:rPr>
          <w:rFonts w:cstheme="minorHAnsi"/>
        </w:rPr>
      </w:pPr>
    </w:p>
    <w:p w:rsidR="009A7B5F" w:rsidRPr="00C45950" w:rsidRDefault="009A7B5F" w:rsidP="00C45950">
      <w:pPr>
        <w:pStyle w:val="ListParagraph"/>
        <w:spacing w:after="0"/>
        <w:ind w:left="1440"/>
        <w:rPr>
          <w:rFonts w:cstheme="minorHAnsi"/>
        </w:rPr>
      </w:pPr>
    </w:p>
    <w:p w:rsidR="00E623FC" w:rsidRPr="00E623FC" w:rsidRDefault="00E623FC" w:rsidP="00E623FC">
      <w:pPr>
        <w:spacing w:after="0"/>
        <w:rPr>
          <w:rFonts w:cstheme="minorHAnsi"/>
          <w:b/>
        </w:rPr>
      </w:pPr>
      <w:r w:rsidRPr="00E623FC">
        <w:rPr>
          <w:rFonts w:cstheme="minorHAnsi"/>
          <w:b/>
        </w:rPr>
        <w:t xml:space="preserve">Notable </w:t>
      </w:r>
      <w:r w:rsidR="00FC061C">
        <w:rPr>
          <w:rFonts w:cstheme="minorHAnsi"/>
          <w:b/>
        </w:rPr>
        <w:t>References</w:t>
      </w:r>
    </w:p>
    <w:p w:rsidR="00E623FC" w:rsidRPr="009A7B5F" w:rsidRDefault="00E623FC" w:rsidP="009A7B5F">
      <w:pPr>
        <w:pStyle w:val="ListParagraph"/>
        <w:numPr>
          <w:ilvl w:val="0"/>
          <w:numId w:val="6"/>
        </w:numPr>
        <w:spacing w:after="0"/>
        <w:rPr>
          <w:rFonts w:cstheme="minorHAnsi"/>
        </w:rPr>
      </w:pPr>
      <w:r w:rsidRPr="009A7B5F">
        <w:rPr>
          <w:rFonts w:cstheme="minorHAnsi"/>
          <w:i/>
        </w:rPr>
        <w:t>African Studies Quarterly</w:t>
      </w:r>
      <w:r w:rsidR="009A7B5F">
        <w:rPr>
          <w:rStyle w:val="Hyperlink"/>
          <w:rFonts w:cstheme="minorHAnsi"/>
          <w:i/>
        </w:rPr>
        <w:t xml:space="preserve"> </w:t>
      </w:r>
      <w:r w:rsidR="009A7B5F" w:rsidRPr="009A7B5F">
        <w:rPr>
          <w:rStyle w:val="Hyperlink"/>
          <w:rFonts w:cstheme="minorHAnsi"/>
        </w:rPr>
        <w:t>(http://www.africa.ufl.edu/asq/</w:t>
      </w:r>
      <w:r w:rsidR="009A7B5F">
        <w:rPr>
          <w:rStyle w:val="Hyperlink"/>
          <w:rFonts w:cstheme="minorHAnsi"/>
        </w:rPr>
        <w:t>)</w:t>
      </w:r>
    </w:p>
    <w:p w:rsidR="00E623FC" w:rsidRDefault="00E623FC" w:rsidP="009A7B5F">
      <w:pPr>
        <w:pStyle w:val="ListParagraph"/>
        <w:numPr>
          <w:ilvl w:val="0"/>
          <w:numId w:val="6"/>
        </w:numPr>
        <w:spacing w:after="0"/>
        <w:rPr>
          <w:rFonts w:cstheme="minorHAnsi"/>
        </w:rPr>
      </w:pPr>
      <w:r w:rsidRPr="009A7B5F">
        <w:rPr>
          <w:rFonts w:cstheme="minorHAnsi"/>
        </w:rPr>
        <w:t>DOAJ has many others</w:t>
      </w:r>
      <w:r w:rsidRPr="00C701C4">
        <w:rPr>
          <w:rFonts w:cstheme="minorHAnsi"/>
        </w:rPr>
        <w:t xml:space="preserve"> </w:t>
      </w:r>
      <w:r w:rsidR="009A7B5F">
        <w:rPr>
          <w:rFonts w:cstheme="minorHAnsi"/>
        </w:rPr>
        <w:t>(</w:t>
      </w:r>
      <w:hyperlink r:id="rId12" w:history="1">
        <w:r w:rsidR="009A7B5F" w:rsidRPr="00222CDE">
          <w:rPr>
            <w:rStyle w:val="Hyperlink"/>
            <w:rFonts w:cstheme="minorHAnsi"/>
          </w:rPr>
          <w:t>http://www.doaj.org/</w:t>
        </w:r>
      </w:hyperlink>
      <w:r w:rsidR="009A7B5F">
        <w:rPr>
          <w:rFonts w:cstheme="minorHAnsi"/>
        </w:rPr>
        <w:t xml:space="preserve">) </w:t>
      </w:r>
    </w:p>
    <w:p w:rsidR="009A7B5F" w:rsidRPr="009A7B5F" w:rsidRDefault="009A7B5F" w:rsidP="009A7B5F">
      <w:pPr>
        <w:pStyle w:val="ListParagraph"/>
        <w:numPr>
          <w:ilvl w:val="0"/>
          <w:numId w:val="6"/>
        </w:numPr>
      </w:pPr>
      <w:r w:rsidRPr="009A7B5F">
        <w:t>Open Journal Systems (OJS), supported by the UF Libraries (</w:t>
      </w:r>
      <w:hyperlink r:id="rId13" w:history="1">
        <w:r w:rsidRPr="00222CDE">
          <w:rPr>
            <w:rStyle w:val="Hyperlink"/>
          </w:rPr>
          <w:t>http://guides.uflib.ufl.edu/content.php?pid=230212&amp;sid=1940482</w:t>
        </w:r>
      </w:hyperlink>
      <w:r w:rsidRPr="009A7B5F">
        <w:t>)</w:t>
      </w:r>
      <w:r>
        <w:t xml:space="preserve"> </w:t>
      </w:r>
    </w:p>
    <w:p w:rsidR="00FC061C" w:rsidRPr="00CE1D8F" w:rsidRDefault="00FC061C" w:rsidP="00FC061C">
      <w:pPr>
        <w:pStyle w:val="ListParagraph"/>
        <w:numPr>
          <w:ilvl w:val="0"/>
          <w:numId w:val="6"/>
        </w:numPr>
        <w:spacing w:after="0"/>
        <w:rPr>
          <w:rFonts w:cstheme="minorHAnsi"/>
        </w:rPr>
      </w:pPr>
      <w:r w:rsidRPr="00CE1D8F">
        <w:rPr>
          <w:rFonts w:eastAsia="Times New Roman" w:cstheme="minorHAnsi"/>
          <w:i/>
        </w:rPr>
        <w:t>Permissions, A Survival Guide,</w:t>
      </w:r>
      <w:r w:rsidRPr="00CE1D8F">
        <w:rPr>
          <w:rFonts w:eastAsia="Times New Roman" w:cstheme="minorHAnsi"/>
        </w:rPr>
        <w:t xml:space="preserve"> Susan Bielstein</w:t>
      </w:r>
    </w:p>
    <w:p w:rsidR="00FC061C" w:rsidRDefault="00FC061C" w:rsidP="00FC061C">
      <w:pPr>
        <w:spacing w:after="0"/>
        <w:ind w:left="360"/>
        <w:rPr>
          <w:rFonts w:cstheme="minorHAnsi"/>
        </w:rPr>
      </w:pPr>
    </w:p>
    <w:p w:rsidR="009A7B5F" w:rsidRDefault="009A7B5F" w:rsidP="00FC061C">
      <w:pPr>
        <w:spacing w:after="0"/>
        <w:ind w:left="360"/>
        <w:rPr>
          <w:rFonts w:cstheme="minorHAnsi"/>
        </w:rPr>
      </w:pPr>
    </w:p>
    <w:p w:rsidR="009A7B5F" w:rsidRPr="00CE1D8F" w:rsidRDefault="009A7B5F" w:rsidP="00FC061C">
      <w:pPr>
        <w:spacing w:after="0"/>
        <w:ind w:left="360"/>
        <w:rPr>
          <w:rFonts w:cstheme="minorHAnsi"/>
        </w:rPr>
      </w:pPr>
    </w:p>
    <w:p w:rsidR="00C45950" w:rsidRPr="00006F66" w:rsidRDefault="00C45950" w:rsidP="00C45950">
      <w:pPr>
        <w:spacing w:after="0"/>
        <w:rPr>
          <w:rFonts w:eastAsia="Times New Roman" w:cstheme="minorHAnsi"/>
          <w:b/>
        </w:rPr>
      </w:pPr>
      <w:r w:rsidRPr="00006F66">
        <w:rPr>
          <w:rFonts w:eastAsia="Times New Roman" w:cstheme="minorHAnsi"/>
          <w:b/>
        </w:rPr>
        <w:t>Examples of Other Scholarly Publication Types to Note</w:t>
      </w:r>
    </w:p>
    <w:p w:rsidR="00C45950" w:rsidRPr="00006F66" w:rsidRDefault="00C45950" w:rsidP="009A7B5F">
      <w:pPr>
        <w:pStyle w:val="ListParagraph"/>
        <w:numPr>
          <w:ilvl w:val="0"/>
          <w:numId w:val="11"/>
        </w:numPr>
        <w:spacing w:after="0"/>
        <w:rPr>
          <w:rFonts w:eastAsia="Times New Roman" w:cstheme="minorHAnsi"/>
        </w:rPr>
      </w:pPr>
      <w:r w:rsidRPr="00006F66">
        <w:rPr>
          <w:rFonts w:eastAsia="Times New Roman" w:cstheme="minorHAnsi"/>
        </w:rPr>
        <w:t>Scholar-Curated Collections</w:t>
      </w:r>
      <w:r>
        <w:rPr>
          <w:rFonts w:eastAsia="Times New Roman" w:cstheme="minorHAnsi"/>
        </w:rPr>
        <w:t xml:space="preserve">: </w:t>
      </w:r>
      <w:r w:rsidRPr="009A7B5F">
        <w:rPr>
          <w:rFonts w:eastAsia="Times New Roman" w:cstheme="minorHAnsi"/>
        </w:rPr>
        <w:t>International Farming Systems</w:t>
      </w:r>
      <w:r w:rsidR="009A7B5F">
        <w:rPr>
          <w:rStyle w:val="Hyperlink"/>
          <w:rFonts w:eastAsia="Times New Roman" w:cstheme="minorHAnsi"/>
        </w:rPr>
        <w:t xml:space="preserve"> (</w:t>
      </w:r>
      <w:r w:rsidR="009A7B5F" w:rsidRPr="009A7B5F">
        <w:rPr>
          <w:rStyle w:val="Hyperlink"/>
          <w:rFonts w:eastAsia="Times New Roman" w:cstheme="minorHAnsi"/>
        </w:rPr>
        <w:t>http://ufdc.ufl.edu/ifsa</w:t>
      </w:r>
      <w:r w:rsidR="009A7B5F">
        <w:rPr>
          <w:rStyle w:val="Hyperlink"/>
          <w:rFonts w:eastAsia="Times New Roman" w:cstheme="minorHAnsi"/>
        </w:rPr>
        <w:t>)</w:t>
      </w:r>
    </w:p>
    <w:p w:rsidR="00C45950" w:rsidRPr="00006F66" w:rsidRDefault="00C45950" w:rsidP="009A7B5F">
      <w:pPr>
        <w:pStyle w:val="ListParagraph"/>
        <w:numPr>
          <w:ilvl w:val="0"/>
          <w:numId w:val="11"/>
        </w:numPr>
        <w:spacing w:after="0"/>
        <w:rPr>
          <w:rFonts w:eastAsia="Times New Roman" w:cstheme="minorHAnsi"/>
        </w:rPr>
      </w:pPr>
      <w:r w:rsidRPr="00006F66">
        <w:rPr>
          <w:rFonts w:eastAsia="Times New Roman" w:cstheme="minorHAnsi"/>
        </w:rPr>
        <w:t xml:space="preserve">New types of publications: </w:t>
      </w:r>
      <w:r w:rsidRPr="009A7B5F">
        <w:rPr>
          <w:rFonts w:eastAsia="Times New Roman" w:cstheme="minorHAnsi"/>
        </w:rPr>
        <w:t>dLOC</w:t>
      </w:r>
      <w:r w:rsidR="009A7B5F">
        <w:rPr>
          <w:rStyle w:val="Hyperlink"/>
          <w:rFonts w:eastAsia="Times New Roman" w:cstheme="minorHAnsi"/>
        </w:rPr>
        <w:t xml:space="preserve"> (</w:t>
      </w:r>
      <w:r w:rsidR="009A7B5F" w:rsidRPr="009A7B5F">
        <w:rPr>
          <w:rStyle w:val="Hyperlink"/>
          <w:rFonts w:eastAsia="Times New Roman" w:cstheme="minorHAnsi"/>
        </w:rPr>
        <w:t>http://dloc.com/</w:t>
      </w:r>
      <w:r w:rsidR="009A7B5F">
        <w:rPr>
          <w:rStyle w:val="Hyperlink"/>
          <w:rFonts w:eastAsia="Times New Roman" w:cstheme="minorHAnsi"/>
        </w:rPr>
        <w:t>)</w:t>
      </w:r>
      <w:r>
        <w:rPr>
          <w:rFonts w:eastAsia="Times New Roman" w:cstheme="minorHAnsi"/>
        </w:rPr>
        <w:t xml:space="preserve">; </w:t>
      </w:r>
      <w:r w:rsidRPr="009A7B5F">
        <w:rPr>
          <w:rFonts w:eastAsia="Times New Roman" w:cstheme="minorHAnsi"/>
        </w:rPr>
        <w:t>online exhibits</w:t>
      </w:r>
      <w:r w:rsidR="009A7B5F">
        <w:rPr>
          <w:rStyle w:val="Hyperlink"/>
          <w:rFonts w:eastAsia="Times New Roman" w:cstheme="minorHAnsi"/>
        </w:rPr>
        <w:t xml:space="preserve"> (</w:t>
      </w:r>
      <w:r w:rsidR="009A7B5F" w:rsidRPr="009A7B5F">
        <w:rPr>
          <w:rStyle w:val="Hyperlink"/>
          <w:rFonts w:eastAsia="Times New Roman" w:cstheme="minorHAnsi"/>
        </w:rPr>
        <w:t>http://exhibits.uflib.ufl.edu/online.html</w:t>
      </w:r>
      <w:r w:rsidR="009A7B5F">
        <w:rPr>
          <w:rStyle w:val="Hyperlink"/>
          <w:rFonts w:eastAsia="Times New Roman" w:cstheme="minorHAnsi"/>
        </w:rPr>
        <w:t>)</w:t>
      </w:r>
    </w:p>
    <w:p w:rsidR="00C45950" w:rsidRPr="00006F66" w:rsidRDefault="00C45950" w:rsidP="009A7B5F">
      <w:pPr>
        <w:pStyle w:val="ListParagraph"/>
        <w:numPr>
          <w:ilvl w:val="0"/>
          <w:numId w:val="11"/>
        </w:numPr>
        <w:spacing w:after="0"/>
        <w:rPr>
          <w:rFonts w:eastAsia="Times New Roman" w:cstheme="minorHAnsi"/>
        </w:rPr>
      </w:pPr>
      <w:r w:rsidRPr="009A7B5F">
        <w:rPr>
          <w:rFonts w:eastAsia="Times New Roman" w:cstheme="minorHAnsi"/>
        </w:rPr>
        <w:t>UFDC – digital humanities handout</w:t>
      </w:r>
      <w:r w:rsidR="009A7B5F">
        <w:rPr>
          <w:rStyle w:val="Hyperlink"/>
          <w:rFonts w:eastAsia="Times New Roman" w:cstheme="minorHAnsi"/>
        </w:rPr>
        <w:t xml:space="preserve"> (</w:t>
      </w:r>
      <w:r w:rsidR="009A7B5F" w:rsidRPr="009A7B5F">
        <w:rPr>
          <w:rStyle w:val="Hyperlink"/>
          <w:rFonts w:eastAsia="Times New Roman" w:cstheme="minorHAnsi"/>
        </w:rPr>
        <w:t>http://ufdc.ufl.edu/AA00001589/00001</w:t>
      </w:r>
      <w:r w:rsidR="009A7B5F">
        <w:rPr>
          <w:rStyle w:val="Hyperlink"/>
          <w:rFonts w:eastAsia="Times New Roman" w:cstheme="minorHAnsi"/>
        </w:rPr>
        <w:t>)</w:t>
      </w:r>
    </w:p>
    <w:p w:rsidR="00FC061C" w:rsidRPr="00AB285A" w:rsidRDefault="00FC061C" w:rsidP="00E623FC">
      <w:pPr>
        <w:spacing w:after="0"/>
        <w:rPr>
          <w:rFonts w:cstheme="minorHAnsi"/>
          <w:i/>
        </w:rPr>
      </w:pPr>
    </w:p>
    <w:p w:rsidR="00E623FC" w:rsidRPr="00E623FC" w:rsidRDefault="00E623FC" w:rsidP="00E623FC">
      <w:pPr>
        <w:spacing w:after="0"/>
        <w:jc w:val="center"/>
        <w:rPr>
          <w:rFonts w:cstheme="minorHAnsi"/>
          <w:i/>
        </w:rPr>
      </w:pPr>
      <w:r>
        <w:rPr>
          <w:rFonts w:cstheme="minorHAnsi"/>
          <w:b/>
        </w:rPr>
        <w:br w:type="page"/>
      </w:r>
    </w:p>
    <w:p w:rsidR="00FC53F5" w:rsidRPr="00AB285A" w:rsidRDefault="00FC53F5" w:rsidP="00FC53F5">
      <w:pPr>
        <w:spacing w:after="0"/>
        <w:jc w:val="center"/>
        <w:rPr>
          <w:rFonts w:cstheme="minorHAnsi"/>
          <w:b/>
        </w:rPr>
      </w:pPr>
      <w:r w:rsidRPr="00CE1D8F">
        <w:rPr>
          <w:rFonts w:cstheme="minorHAnsi"/>
          <w:b/>
          <w:sz w:val="32"/>
          <w:szCs w:val="32"/>
        </w:rPr>
        <w:lastRenderedPageBreak/>
        <w:t>Africana Bibliography (AFS 5061)</w:t>
      </w:r>
      <w:r w:rsidR="00C7463A">
        <w:rPr>
          <w:rFonts w:cstheme="minorHAnsi"/>
          <w:b/>
          <w:sz w:val="32"/>
          <w:szCs w:val="32"/>
        </w:rPr>
        <w:t>: Teaching Notes</w:t>
      </w:r>
      <w:r w:rsidRPr="00AB285A">
        <w:rPr>
          <w:rFonts w:cstheme="minorHAnsi"/>
          <w:b/>
        </w:rPr>
        <w:br/>
      </w:r>
      <w:hyperlink r:id="rId14" w:history="1">
        <w:r w:rsidRPr="00AB285A">
          <w:rPr>
            <w:rStyle w:val="Hyperlink"/>
            <w:rFonts w:cstheme="minorHAnsi"/>
          </w:rPr>
          <w:t>http://guides.uflib.ufl.edu/content.php?pid=6493&amp;sid=1480100</w:t>
        </w:r>
      </w:hyperlink>
    </w:p>
    <w:p w:rsidR="00FC53F5" w:rsidRPr="00AB285A" w:rsidRDefault="00FC53F5" w:rsidP="00FC53F5">
      <w:pPr>
        <w:spacing w:after="0"/>
        <w:rPr>
          <w:rFonts w:cstheme="minorHAnsi"/>
          <w:b/>
        </w:rPr>
      </w:pPr>
    </w:p>
    <w:p w:rsidR="00FC53F5" w:rsidRPr="00AB285A" w:rsidRDefault="00FC53F5" w:rsidP="00FC53F5">
      <w:pPr>
        <w:spacing w:after="0"/>
        <w:rPr>
          <w:rFonts w:cstheme="minorHAnsi"/>
          <w:i/>
        </w:rPr>
      </w:pPr>
      <w:r w:rsidRPr="00AB285A">
        <w:rPr>
          <w:rFonts w:cstheme="minorHAnsi"/>
          <w:i/>
        </w:rPr>
        <w:t xml:space="preserve">Scholarly </w:t>
      </w:r>
      <w:r w:rsidR="009A7B5F">
        <w:rPr>
          <w:rFonts w:cstheme="minorHAnsi"/>
          <w:i/>
        </w:rPr>
        <w:t>communications</w:t>
      </w:r>
      <w:r w:rsidRPr="00AB285A">
        <w:rPr>
          <w:rFonts w:cstheme="minorHAnsi"/>
          <w:i/>
        </w:rPr>
        <w:t>, Institutional Repositories, author permissions/rights</w:t>
      </w:r>
    </w:p>
    <w:p w:rsidR="00FC53F5" w:rsidRPr="00AB285A" w:rsidRDefault="00FC53F5" w:rsidP="00FC53F5">
      <w:pPr>
        <w:spacing w:after="0"/>
        <w:rPr>
          <w:rFonts w:cstheme="minorHAnsi"/>
          <w:i/>
        </w:rPr>
      </w:pPr>
      <w:r w:rsidRPr="00AB285A">
        <w:rPr>
          <w:rFonts w:cstheme="minorHAnsi"/>
          <w:i/>
        </w:rPr>
        <w:t>Guest Lecturer: Laurie Taylor</w:t>
      </w:r>
    </w:p>
    <w:p w:rsidR="00D162D4" w:rsidRDefault="00D162D4" w:rsidP="007B561A">
      <w:pPr>
        <w:spacing w:after="0"/>
        <w:rPr>
          <w:rFonts w:cstheme="minorHAnsi"/>
        </w:rPr>
      </w:pPr>
    </w:p>
    <w:p w:rsidR="00CE1D8F" w:rsidRPr="00CE1D8F" w:rsidRDefault="00CE1D8F" w:rsidP="007B561A">
      <w:pPr>
        <w:spacing w:after="0"/>
        <w:rPr>
          <w:rFonts w:cstheme="minorHAnsi"/>
          <w:b/>
        </w:rPr>
      </w:pPr>
      <w:r w:rsidRPr="00CE1D8F">
        <w:rPr>
          <w:rFonts w:cstheme="minorHAnsi"/>
          <w:b/>
        </w:rPr>
        <w:t>OVERVIEW</w:t>
      </w:r>
    </w:p>
    <w:p w:rsidR="00CE1D8F" w:rsidRDefault="00CE1D8F" w:rsidP="00CE1D8F">
      <w:pPr>
        <w:spacing w:after="0"/>
        <w:rPr>
          <w:rFonts w:cstheme="minorHAnsi"/>
        </w:rPr>
      </w:pPr>
    </w:p>
    <w:p w:rsidR="00CE1D8F" w:rsidRPr="00AB285A" w:rsidRDefault="009A7B5F" w:rsidP="00CE1D8F">
      <w:pPr>
        <w:spacing w:after="0"/>
        <w:rPr>
          <w:rFonts w:cstheme="minorHAnsi"/>
        </w:rPr>
      </w:pPr>
      <w:r>
        <w:rPr>
          <w:rFonts w:cstheme="minorHAnsi"/>
        </w:rPr>
        <w:t>Topics:</w:t>
      </w:r>
      <w:r w:rsidR="00CE1D8F" w:rsidRPr="00AB285A">
        <w:rPr>
          <w:rFonts w:cstheme="minorHAnsi"/>
        </w:rPr>
        <w:t xml:space="preserve"> </w:t>
      </w:r>
    </w:p>
    <w:p w:rsidR="009A7B5F" w:rsidRPr="009A7B5F" w:rsidRDefault="009A7B5F" w:rsidP="009A7B5F">
      <w:pPr>
        <w:pStyle w:val="ListParagraph"/>
        <w:numPr>
          <w:ilvl w:val="0"/>
          <w:numId w:val="3"/>
        </w:numPr>
        <w:rPr>
          <w:rFonts w:cstheme="minorHAnsi"/>
        </w:rPr>
      </w:pPr>
      <w:r w:rsidRPr="009A7B5F">
        <w:rPr>
          <w:rFonts w:cstheme="minorHAnsi"/>
        </w:rPr>
        <w:t>Scholarly communications</w:t>
      </w:r>
    </w:p>
    <w:p w:rsidR="00CE1D8F" w:rsidRPr="00AB285A" w:rsidRDefault="00CE1D8F" w:rsidP="00CE1D8F">
      <w:pPr>
        <w:pStyle w:val="ListParagraph"/>
        <w:numPr>
          <w:ilvl w:val="0"/>
          <w:numId w:val="3"/>
        </w:numPr>
        <w:spacing w:after="0"/>
        <w:rPr>
          <w:rFonts w:cstheme="minorHAnsi"/>
        </w:rPr>
      </w:pPr>
      <w:r w:rsidRPr="00AB285A">
        <w:rPr>
          <w:rFonts w:cstheme="minorHAnsi"/>
        </w:rPr>
        <w:t>Institutional Repositories</w:t>
      </w:r>
    </w:p>
    <w:p w:rsidR="00CE1D8F" w:rsidRDefault="00CE1D8F" w:rsidP="00CE1D8F">
      <w:pPr>
        <w:pStyle w:val="ListParagraph"/>
        <w:numPr>
          <w:ilvl w:val="0"/>
          <w:numId w:val="3"/>
        </w:numPr>
        <w:spacing w:after="0"/>
        <w:rPr>
          <w:rFonts w:cstheme="minorHAnsi"/>
        </w:rPr>
      </w:pPr>
      <w:r w:rsidRPr="00AB285A">
        <w:rPr>
          <w:rFonts w:cstheme="minorHAnsi"/>
        </w:rPr>
        <w:t>Author permissions/rights</w:t>
      </w:r>
    </w:p>
    <w:p w:rsidR="00CE1D8F" w:rsidRDefault="00CE1D8F" w:rsidP="00CE1D8F">
      <w:pPr>
        <w:pStyle w:val="ListParagraph"/>
        <w:numPr>
          <w:ilvl w:val="0"/>
          <w:numId w:val="3"/>
        </w:numPr>
        <w:spacing w:after="0"/>
        <w:rPr>
          <w:rFonts w:cstheme="minorHAnsi"/>
        </w:rPr>
      </w:pPr>
      <w:r>
        <w:rPr>
          <w:rFonts w:cstheme="minorHAnsi"/>
        </w:rPr>
        <w:t>Related resources and examples from UF</w:t>
      </w:r>
    </w:p>
    <w:p w:rsidR="00CE1D8F" w:rsidRDefault="00CE1D8F" w:rsidP="00CE1D8F">
      <w:pPr>
        <w:pStyle w:val="ListParagraph"/>
        <w:numPr>
          <w:ilvl w:val="0"/>
          <w:numId w:val="3"/>
        </w:numPr>
        <w:spacing w:after="0"/>
        <w:rPr>
          <w:rFonts w:cstheme="minorHAnsi"/>
        </w:rPr>
      </w:pPr>
      <w:r>
        <w:rPr>
          <w:rFonts w:cstheme="minorHAnsi"/>
        </w:rPr>
        <w:t>IR@UF Demonstration</w:t>
      </w:r>
    </w:p>
    <w:p w:rsidR="00CE1D8F" w:rsidRDefault="00CE1D8F" w:rsidP="007B561A">
      <w:pPr>
        <w:spacing w:after="0"/>
        <w:rPr>
          <w:rFonts w:cstheme="minorHAnsi"/>
        </w:rPr>
      </w:pPr>
    </w:p>
    <w:p w:rsidR="00D162D4" w:rsidRPr="00AB285A" w:rsidRDefault="00D162D4" w:rsidP="007B561A">
      <w:pPr>
        <w:spacing w:after="0"/>
        <w:rPr>
          <w:rFonts w:cstheme="minorHAnsi"/>
          <w:b/>
        </w:rPr>
      </w:pPr>
      <w:r>
        <w:rPr>
          <w:rFonts w:cstheme="minorHAnsi"/>
          <w:b/>
        </w:rPr>
        <w:t>INTRODUCTION</w:t>
      </w:r>
    </w:p>
    <w:p w:rsidR="00CE1D8F" w:rsidRPr="00AB285A" w:rsidRDefault="00CE1D8F" w:rsidP="007B561A">
      <w:pPr>
        <w:spacing w:after="0"/>
        <w:rPr>
          <w:rFonts w:cstheme="minorHAnsi"/>
          <w:b/>
        </w:rPr>
      </w:pPr>
    </w:p>
    <w:p w:rsidR="00202401" w:rsidRPr="00790FD1" w:rsidRDefault="00202401" w:rsidP="00790FD1">
      <w:pPr>
        <w:spacing w:after="0"/>
        <w:rPr>
          <w:rFonts w:cstheme="minorHAnsi"/>
        </w:rPr>
      </w:pPr>
      <w:r w:rsidRPr="00AB285A">
        <w:rPr>
          <w:rFonts w:cstheme="minorHAnsi"/>
        </w:rPr>
        <w:t xml:space="preserve">Scholarly </w:t>
      </w:r>
      <w:r w:rsidR="009A7B5F">
        <w:rPr>
          <w:rFonts w:cstheme="minorHAnsi"/>
        </w:rPr>
        <w:t xml:space="preserve">communications </w:t>
      </w:r>
      <w:r w:rsidRPr="00AB285A">
        <w:rPr>
          <w:rFonts w:cstheme="minorHAnsi"/>
        </w:rPr>
        <w:t xml:space="preserve">is </w:t>
      </w:r>
      <w:r w:rsidR="00790FD1">
        <w:rPr>
          <w:rFonts w:cstheme="minorHAnsi"/>
        </w:rPr>
        <w:t xml:space="preserve">the broad top-level issue, with </w:t>
      </w:r>
      <w:r w:rsidRPr="00790FD1">
        <w:rPr>
          <w:rFonts w:cstheme="minorHAnsi"/>
        </w:rPr>
        <w:t>Institutional Repositories</w:t>
      </w:r>
      <w:r w:rsidR="00790FD1">
        <w:rPr>
          <w:rFonts w:cstheme="minorHAnsi"/>
        </w:rPr>
        <w:t xml:space="preserve"> and </w:t>
      </w:r>
      <w:r w:rsidRPr="00790FD1">
        <w:rPr>
          <w:rFonts w:cstheme="minorHAnsi"/>
        </w:rPr>
        <w:t>Author permissions/rights</w:t>
      </w:r>
      <w:r w:rsidR="00790FD1">
        <w:rPr>
          <w:rFonts w:cstheme="minorHAnsi"/>
        </w:rPr>
        <w:t xml:space="preserve"> as related concerns.</w:t>
      </w:r>
    </w:p>
    <w:p w:rsidR="00D162D4" w:rsidRPr="00AB285A" w:rsidRDefault="00D162D4" w:rsidP="007B561A">
      <w:pPr>
        <w:spacing w:after="0"/>
        <w:rPr>
          <w:rFonts w:cstheme="minorHAnsi"/>
        </w:rPr>
      </w:pPr>
    </w:p>
    <w:p w:rsidR="00202401" w:rsidRPr="00AB285A" w:rsidRDefault="0001017D" w:rsidP="007B561A">
      <w:pPr>
        <w:spacing w:after="0"/>
        <w:rPr>
          <w:rFonts w:cstheme="minorHAnsi"/>
        </w:rPr>
      </w:pPr>
      <w:r w:rsidRPr="00AB285A">
        <w:rPr>
          <w:rFonts w:cstheme="minorHAnsi"/>
        </w:rPr>
        <w:t>Common Definition</w:t>
      </w:r>
      <w:r w:rsidR="009D21DD" w:rsidRPr="00AB285A">
        <w:rPr>
          <w:rFonts w:cstheme="minorHAnsi"/>
        </w:rPr>
        <w:t xml:space="preserve"> for Institutional Repositories/IRs</w:t>
      </w:r>
      <w:r w:rsidR="00996E70" w:rsidRPr="00AB285A">
        <w:rPr>
          <w:rFonts w:cstheme="minorHAnsi"/>
        </w:rPr>
        <w:t>:</w:t>
      </w:r>
    </w:p>
    <w:p w:rsidR="00D162D4" w:rsidRDefault="00D162D4" w:rsidP="007B561A">
      <w:pPr>
        <w:pStyle w:val="ListParagraph"/>
        <w:numPr>
          <w:ilvl w:val="0"/>
          <w:numId w:val="5"/>
        </w:numPr>
        <w:spacing w:after="0"/>
        <w:rPr>
          <w:rFonts w:cstheme="minorHAnsi"/>
        </w:rPr>
      </w:pPr>
      <w:r w:rsidRPr="00AB285A">
        <w:rPr>
          <w:rFonts w:cstheme="minorHAnsi"/>
        </w:rPr>
        <w:t>Institutional repositories are often referred to as IRs.</w:t>
      </w:r>
    </w:p>
    <w:p w:rsidR="0001017D" w:rsidRPr="00AB285A" w:rsidRDefault="00996E70" w:rsidP="007B561A">
      <w:pPr>
        <w:pStyle w:val="ListParagraph"/>
        <w:numPr>
          <w:ilvl w:val="0"/>
          <w:numId w:val="5"/>
        </w:numPr>
        <w:spacing w:after="0"/>
        <w:rPr>
          <w:rFonts w:cstheme="minorHAnsi"/>
        </w:rPr>
      </w:pPr>
      <w:r w:rsidRPr="00AB285A">
        <w:rPr>
          <w:rFonts w:cstheme="minorHAnsi"/>
        </w:rPr>
        <w:t>Institutional repositories are normally defined as the online locus for collecting, preserving, and disseminating - in digital form - the intellectual output of an institution, particularly a research institution</w:t>
      </w:r>
      <w:r w:rsidR="0001017D" w:rsidRPr="00AB285A">
        <w:rPr>
          <w:rFonts w:cstheme="minorHAnsi"/>
        </w:rPr>
        <w:t xml:space="preserve">. </w:t>
      </w:r>
    </w:p>
    <w:p w:rsidR="00F26B0C" w:rsidRDefault="0001017D" w:rsidP="009D21DD">
      <w:pPr>
        <w:pStyle w:val="ListParagraph"/>
        <w:numPr>
          <w:ilvl w:val="0"/>
          <w:numId w:val="5"/>
        </w:numPr>
        <w:rPr>
          <w:rFonts w:eastAsia="Times New Roman" w:cstheme="minorHAnsi"/>
        </w:rPr>
      </w:pPr>
      <w:r w:rsidRPr="00AB285A">
        <w:rPr>
          <w:rFonts w:cstheme="minorHAnsi"/>
        </w:rPr>
        <w:t xml:space="preserve">At UF, the IR is defined as </w:t>
      </w:r>
      <w:r w:rsidRPr="00AB285A">
        <w:rPr>
          <w:rFonts w:eastAsia="Times New Roman" w:cstheme="minorHAnsi"/>
        </w:rPr>
        <w:t>the digital archive for the intellectual output of the University of Florida community, and includes research, news, outreach, and educational materials.</w:t>
      </w:r>
    </w:p>
    <w:p w:rsidR="00F26B0C" w:rsidRDefault="00F26B0C" w:rsidP="009D21DD">
      <w:pPr>
        <w:pStyle w:val="ListParagraph"/>
        <w:numPr>
          <w:ilvl w:val="0"/>
          <w:numId w:val="5"/>
        </w:numPr>
        <w:rPr>
          <w:rFonts w:eastAsia="Times New Roman" w:cstheme="minorHAnsi"/>
        </w:rPr>
      </w:pPr>
      <w:r>
        <w:rPr>
          <w:rFonts w:eastAsia="Times New Roman" w:cstheme="minorHAnsi"/>
        </w:rPr>
        <w:t xml:space="preserve">IRs as a concept began as a way to support preservation and access. </w:t>
      </w:r>
    </w:p>
    <w:p w:rsidR="00F26B0C" w:rsidRDefault="00F26B0C" w:rsidP="00F26B0C">
      <w:pPr>
        <w:pStyle w:val="ListParagraph"/>
        <w:numPr>
          <w:ilvl w:val="1"/>
          <w:numId w:val="5"/>
        </w:numPr>
        <w:rPr>
          <w:rFonts w:eastAsia="Times New Roman" w:cstheme="minorHAnsi"/>
        </w:rPr>
      </w:pPr>
      <w:r>
        <w:rPr>
          <w:rFonts w:eastAsia="Times New Roman" w:cstheme="minorHAnsi"/>
        </w:rPr>
        <w:t>The concept was that the institution where the researcher is based has funded or supported the research in some way and so should be a central access and preservation point for that research. Note: institutions do not claim ownership of scholarly works; this is a claim of responsibility.</w:t>
      </w:r>
    </w:p>
    <w:p w:rsidR="00202401" w:rsidRPr="00AB285A" w:rsidRDefault="008D07CF" w:rsidP="00F26B0C">
      <w:pPr>
        <w:pStyle w:val="ListParagraph"/>
        <w:numPr>
          <w:ilvl w:val="1"/>
          <w:numId w:val="5"/>
        </w:numPr>
        <w:rPr>
          <w:rFonts w:eastAsia="Times New Roman" w:cstheme="minorHAnsi"/>
        </w:rPr>
      </w:pPr>
      <w:r>
        <w:rPr>
          <w:rFonts w:eastAsia="Times New Roman" w:cstheme="minorHAnsi"/>
        </w:rPr>
        <w:t>IRs and other trends are</w:t>
      </w:r>
      <w:r w:rsidR="00F26B0C">
        <w:rPr>
          <w:rFonts w:eastAsia="Times New Roman" w:cstheme="minorHAnsi"/>
        </w:rPr>
        <w:t xml:space="preserve"> critical for scholarly works because the point is for scholarly works to create and disseminate knowledge. That can’t happen as effectively as it should because of the ever-increasing costs of so many journals that make subscribing to them impossible for so many institutions in the US and around the world. </w:t>
      </w:r>
    </w:p>
    <w:p w:rsidR="008362A3" w:rsidRPr="00AB285A" w:rsidRDefault="00082C83" w:rsidP="008362A3">
      <w:pPr>
        <w:rPr>
          <w:rFonts w:cstheme="minorHAnsi"/>
        </w:rPr>
      </w:pPr>
      <w:r w:rsidRPr="00AB285A">
        <w:rPr>
          <w:rFonts w:cstheme="minorHAnsi"/>
        </w:rPr>
        <w:t>IRs are most often supported by Libraries in academic institutions.</w:t>
      </w:r>
      <w:r w:rsidR="008362A3" w:rsidRPr="00AB285A">
        <w:rPr>
          <w:rFonts w:cstheme="minorHAnsi"/>
        </w:rPr>
        <w:t xml:space="preserve"> Some IR-like places a</w:t>
      </w:r>
      <w:r w:rsidR="001637FD" w:rsidRPr="00AB285A">
        <w:rPr>
          <w:rFonts w:cstheme="minorHAnsi"/>
        </w:rPr>
        <w:t xml:space="preserve">re PubMed Central.  </w:t>
      </w:r>
      <w:r w:rsidR="00B6000E">
        <w:rPr>
          <w:rFonts w:cstheme="minorHAnsi"/>
        </w:rPr>
        <w:t>PubM</w:t>
      </w:r>
      <w:r w:rsidR="008362A3" w:rsidRPr="00AB285A">
        <w:rPr>
          <w:rFonts w:cstheme="minorHAnsi"/>
        </w:rPr>
        <w:t>ed Central</w:t>
      </w:r>
      <w:r w:rsidR="001637FD" w:rsidRPr="00AB285A">
        <w:rPr>
          <w:rFonts w:cstheme="minorHAnsi"/>
        </w:rPr>
        <w:t xml:space="preserve"> is phenomenally success</w:t>
      </w:r>
      <w:r w:rsidR="00D437AD">
        <w:rPr>
          <w:rFonts w:cstheme="minorHAnsi"/>
        </w:rPr>
        <w:t>ful</w:t>
      </w:r>
      <w:r w:rsidR="001637FD" w:rsidRPr="00AB285A">
        <w:rPr>
          <w:rFonts w:cstheme="minorHAnsi"/>
        </w:rPr>
        <w:t xml:space="preserve"> because t</w:t>
      </w:r>
      <w:r w:rsidR="008362A3" w:rsidRPr="00AB285A">
        <w:rPr>
          <w:rFonts w:cstheme="minorHAnsi"/>
        </w:rPr>
        <w:t xml:space="preserve">he </w:t>
      </w:r>
      <w:r w:rsidR="008362A3" w:rsidRPr="009A7B5F">
        <w:rPr>
          <w:rFonts w:cstheme="minorHAnsi"/>
        </w:rPr>
        <w:t>NIH Public Access Policy</w:t>
      </w:r>
      <w:r w:rsidR="009A7B5F">
        <w:rPr>
          <w:rStyle w:val="Hyperlink"/>
          <w:rFonts w:cstheme="minorHAnsi"/>
        </w:rPr>
        <w:t xml:space="preserve"> (</w:t>
      </w:r>
      <w:r w:rsidR="009A7B5F" w:rsidRPr="009A7B5F">
        <w:rPr>
          <w:rStyle w:val="Hyperlink"/>
          <w:rFonts w:cstheme="minorHAnsi"/>
        </w:rPr>
        <w:t>http://publicaccess.nih.gov/policy.htm</w:t>
      </w:r>
      <w:r w:rsidR="009A7B5F">
        <w:rPr>
          <w:rStyle w:val="Hyperlink"/>
          <w:rFonts w:cstheme="minorHAnsi"/>
        </w:rPr>
        <w:t>)</w:t>
      </w:r>
      <w:r w:rsidR="008362A3" w:rsidRPr="00AB285A">
        <w:rPr>
          <w:rFonts w:cstheme="minorHAnsi"/>
        </w:rPr>
        <w:t xml:space="preserve"> requires scientists to submit final peer-reviewed journal manuscripts that arise from NIH funds to the digital archive </w:t>
      </w:r>
      <w:r w:rsidR="008362A3" w:rsidRPr="009A7B5F">
        <w:rPr>
          <w:rFonts w:cstheme="minorHAnsi"/>
        </w:rPr>
        <w:t>PubMed Central</w:t>
      </w:r>
      <w:r w:rsidR="008362A3" w:rsidRPr="00AB285A">
        <w:rPr>
          <w:rFonts w:cstheme="minorHAnsi"/>
        </w:rPr>
        <w:t xml:space="preserve"> </w:t>
      </w:r>
      <w:r w:rsidR="009A7B5F">
        <w:rPr>
          <w:rFonts w:cstheme="minorHAnsi"/>
        </w:rPr>
        <w:lastRenderedPageBreak/>
        <w:t>(</w:t>
      </w:r>
      <w:hyperlink r:id="rId15" w:history="1">
        <w:r w:rsidR="009A7B5F" w:rsidRPr="00222CDE">
          <w:rPr>
            <w:rStyle w:val="Hyperlink"/>
            <w:rFonts w:cstheme="minorHAnsi"/>
          </w:rPr>
          <w:t>http://www.pubmedcentral.nih.gov/</w:t>
        </w:r>
      </w:hyperlink>
      <w:r w:rsidR="009A7B5F">
        <w:rPr>
          <w:rFonts w:cstheme="minorHAnsi"/>
        </w:rPr>
        <w:t xml:space="preserve">) </w:t>
      </w:r>
      <w:r w:rsidR="008362A3" w:rsidRPr="00AB285A">
        <w:rPr>
          <w:rStyle w:val="Emphasis"/>
          <w:rFonts w:cstheme="minorHAnsi"/>
        </w:rPr>
        <w:t>upon acceptance for publication</w:t>
      </w:r>
      <w:r w:rsidR="008362A3" w:rsidRPr="00AB285A">
        <w:rPr>
          <w:rFonts w:cstheme="minorHAnsi"/>
        </w:rPr>
        <w:t xml:space="preserve">. </w:t>
      </w:r>
      <w:r w:rsidR="00E435EA" w:rsidRPr="00AB285A">
        <w:rPr>
          <w:rFonts w:cstheme="minorHAnsi"/>
        </w:rPr>
        <w:t xml:space="preserve">This NIH mandate, backed with the power of funding, has forced publishers to allow researchers to follow the mandate. </w:t>
      </w:r>
    </w:p>
    <w:p w:rsidR="009D21DD" w:rsidRPr="00AB285A" w:rsidRDefault="009A7B5F" w:rsidP="007B561A">
      <w:pPr>
        <w:spacing w:after="0"/>
        <w:rPr>
          <w:rFonts w:cstheme="minorHAnsi"/>
        </w:rPr>
      </w:pPr>
      <w:r w:rsidRPr="009A7B5F">
        <w:rPr>
          <w:rFonts w:cstheme="minorHAnsi"/>
        </w:rPr>
        <w:t xml:space="preserve">Scholars normally assign rights as a part of the publishing process. </w:t>
      </w:r>
      <w:r>
        <w:rPr>
          <w:rFonts w:cstheme="minorHAnsi"/>
        </w:rPr>
        <w:t>Thus, the success of IRs can be impacted by publishing rights</w:t>
      </w:r>
      <w:r w:rsidR="008F11FA" w:rsidRPr="00AB285A">
        <w:rPr>
          <w:rFonts w:cstheme="minorHAnsi"/>
        </w:rPr>
        <w:t>.</w:t>
      </w:r>
      <w:r w:rsidR="00C227EE" w:rsidRPr="00AB285A">
        <w:rPr>
          <w:rFonts w:cstheme="minorHAnsi"/>
        </w:rPr>
        <w:t xml:space="preserve"> </w:t>
      </w:r>
    </w:p>
    <w:p w:rsidR="00CE1D8F" w:rsidRDefault="00CE1D8F" w:rsidP="007B561A">
      <w:pPr>
        <w:spacing w:after="0"/>
        <w:rPr>
          <w:rFonts w:cstheme="minorHAnsi"/>
          <w:b/>
        </w:rPr>
      </w:pPr>
    </w:p>
    <w:p w:rsidR="003B6F9D" w:rsidRPr="00E623FC" w:rsidRDefault="00CE1D8F" w:rsidP="007B561A">
      <w:pPr>
        <w:spacing w:after="0"/>
        <w:rPr>
          <w:rFonts w:cstheme="minorHAnsi"/>
          <w:b/>
        </w:rPr>
      </w:pPr>
      <w:r>
        <w:rPr>
          <w:rFonts w:cstheme="minorHAnsi"/>
          <w:b/>
        </w:rPr>
        <w:t xml:space="preserve">OPEN ACCESS MOVEMENT: </w:t>
      </w:r>
      <w:r w:rsidR="009A7B5F">
        <w:rPr>
          <w:rFonts w:cstheme="minorHAnsi"/>
          <w:b/>
        </w:rPr>
        <w:t xml:space="preserve">SOME </w:t>
      </w:r>
      <w:r>
        <w:rPr>
          <w:rFonts w:cstheme="minorHAnsi"/>
          <w:b/>
        </w:rPr>
        <w:t>METHODS</w:t>
      </w:r>
    </w:p>
    <w:p w:rsidR="00E623FC" w:rsidRDefault="00E623FC" w:rsidP="00E623FC">
      <w:pPr>
        <w:spacing w:after="0"/>
        <w:rPr>
          <w:rFonts w:cstheme="minorHAnsi"/>
        </w:rPr>
      </w:pPr>
    </w:p>
    <w:p w:rsidR="00F22301" w:rsidRPr="00E623FC" w:rsidRDefault="00E623FC" w:rsidP="00E623FC">
      <w:pPr>
        <w:spacing w:after="0"/>
        <w:rPr>
          <w:rFonts w:cstheme="minorHAnsi"/>
        </w:rPr>
      </w:pPr>
      <w:r>
        <w:rPr>
          <w:rFonts w:cstheme="minorHAnsi"/>
        </w:rPr>
        <w:t xml:space="preserve">1. </w:t>
      </w:r>
      <w:r w:rsidR="00F22301" w:rsidRPr="00E623FC">
        <w:rPr>
          <w:rFonts w:cstheme="minorHAnsi"/>
        </w:rPr>
        <w:t>O</w:t>
      </w:r>
      <w:r w:rsidR="00243D20" w:rsidRPr="00E623FC">
        <w:rPr>
          <w:rFonts w:cstheme="minorHAnsi"/>
        </w:rPr>
        <w:t xml:space="preserve">pen </w:t>
      </w:r>
      <w:r w:rsidR="00F22301" w:rsidRPr="00E623FC">
        <w:rPr>
          <w:rFonts w:cstheme="minorHAnsi"/>
        </w:rPr>
        <w:t>A</w:t>
      </w:r>
      <w:r w:rsidR="00243D20" w:rsidRPr="00E623FC">
        <w:rPr>
          <w:rFonts w:cstheme="minorHAnsi"/>
        </w:rPr>
        <w:t>ccess</w:t>
      </w:r>
      <w:r w:rsidR="00F22301" w:rsidRPr="00E623FC">
        <w:rPr>
          <w:rFonts w:cstheme="minorHAnsi"/>
        </w:rPr>
        <w:t xml:space="preserve"> journals</w:t>
      </w:r>
    </w:p>
    <w:p w:rsidR="009A7B5F" w:rsidRPr="009A7B5F" w:rsidRDefault="009A7B5F" w:rsidP="009A7B5F">
      <w:pPr>
        <w:numPr>
          <w:ilvl w:val="0"/>
          <w:numId w:val="6"/>
        </w:numPr>
        <w:spacing w:after="0"/>
        <w:contextualSpacing/>
        <w:rPr>
          <w:rFonts w:cstheme="minorHAnsi"/>
        </w:rPr>
      </w:pPr>
      <w:r w:rsidRPr="009A7B5F">
        <w:rPr>
          <w:rFonts w:cstheme="minorHAnsi"/>
          <w:i/>
        </w:rPr>
        <w:t>African Studies Quarterly</w:t>
      </w:r>
      <w:r w:rsidRPr="009A7B5F">
        <w:rPr>
          <w:rFonts w:cstheme="minorHAnsi"/>
          <w:i/>
          <w:color w:val="0000FF" w:themeColor="hyperlink"/>
          <w:u w:val="single"/>
        </w:rPr>
        <w:t xml:space="preserve"> </w:t>
      </w:r>
      <w:r w:rsidRPr="009A7B5F">
        <w:rPr>
          <w:rFonts w:cstheme="minorHAnsi"/>
          <w:color w:val="0000FF" w:themeColor="hyperlink"/>
          <w:u w:val="single"/>
        </w:rPr>
        <w:t>(http://www.africa.ufl.edu/asq/)</w:t>
      </w:r>
    </w:p>
    <w:p w:rsidR="009A7B5F" w:rsidRPr="009A7B5F" w:rsidRDefault="009A7B5F" w:rsidP="009A7B5F">
      <w:pPr>
        <w:numPr>
          <w:ilvl w:val="0"/>
          <w:numId w:val="6"/>
        </w:numPr>
        <w:spacing w:after="0"/>
        <w:contextualSpacing/>
        <w:rPr>
          <w:rFonts w:cstheme="minorHAnsi"/>
        </w:rPr>
      </w:pPr>
      <w:r w:rsidRPr="009A7B5F">
        <w:rPr>
          <w:rFonts w:cstheme="minorHAnsi"/>
        </w:rPr>
        <w:t>DOAJ has many others (</w:t>
      </w:r>
      <w:hyperlink r:id="rId16" w:history="1">
        <w:r w:rsidRPr="009A7B5F">
          <w:rPr>
            <w:rFonts w:cstheme="minorHAnsi"/>
            <w:color w:val="0000FF" w:themeColor="hyperlink"/>
            <w:u w:val="single"/>
          </w:rPr>
          <w:t>http://www.doaj.org/</w:t>
        </w:r>
      </w:hyperlink>
      <w:r w:rsidRPr="009A7B5F">
        <w:rPr>
          <w:rFonts w:cstheme="minorHAnsi"/>
        </w:rPr>
        <w:t xml:space="preserve">) </w:t>
      </w:r>
    </w:p>
    <w:p w:rsidR="009A7B5F" w:rsidRPr="009A7B5F" w:rsidRDefault="009A7B5F" w:rsidP="009A7B5F">
      <w:pPr>
        <w:numPr>
          <w:ilvl w:val="0"/>
          <w:numId w:val="6"/>
        </w:numPr>
        <w:spacing w:after="0"/>
        <w:contextualSpacing/>
        <w:rPr>
          <w:rFonts w:cstheme="minorHAnsi"/>
        </w:rPr>
      </w:pPr>
      <w:r w:rsidRPr="009A7B5F">
        <w:rPr>
          <w:rFonts w:cstheme="minorHAnsi"/>
        </w:rPr>
        <w:t>Open Journal Systems (OJS), supported by the UF Libraries</w:t>
      </w:r>
      <w:r w:rsidRPr="009A7B5F">
        <w:rPr>
          <w:rFonts w:cstheme="minorHAnsi"/>
          <w:u w:val="single"/>
        </w:rPr>
        <w:t xml:space="preserve"> </w:t>
      </w:r>
      <w:r>
        <w:rPr>
          <w:rFonts w:cstheme="minorHAnsi"/>
          <w:color w:val="0000FF" w:themeColor="hyperlink"/>
          <w:u w:val="single"/>
        </w:rPr>
        <w:t>(</w:t>
      </w:r>
      <w:r w:rsidRPr="009A7B5F">
        <w:rPr>
          <w:rFonts w:cstheme="minorHAnsi"/>
          <w:color w:val="0000FF" w:themeColor="hyperlink"/>
          <w:u w:val="single"/>
        </w:rPr>
        <w:t>http://guides.uflib.ufl.edu/content.php?pid=230212&amp;sid=1940482</w:t>
      </w:r>
      <w:r>
        <w:rPr>
          <w:rFonts w:cstheme="minorHAnsi"/>
          <w:color w:val="0000FF" w:themeColor="hyperlink"/>
          <w:u w:val="single"/>
        </w:rPr>
        <w:t>)</w:t>
      </w:r>
    </w:p>
    <w:p w:rsidR="00C701C4" w:rsidRPr="00E623FC" w:rsidRDefault="00E623FC" w:rsidP="00E623FC">
      <w:pPr>
        <w:spacing w:after="0"/>
        <w:rPr>
          <w:rFonts w:cstheme="minorHAnsi"/>
        </w:rPr>
      </w:pPr>
      <w:r>
        <w:rPr>
          <w:rFonts w:cstheme="minorHAnsi"/>
        </w:rPr>
        <w:t xml:space="preserve">2. </w:t>
      </w:r>
      <w:r w:rsidR="00C701C4" w:rsidRPr="00E623FC">
        <w:rPr>
          <w:rFonts w:cstheme="minorHAnsi"/>
        </w:rPr>
        <w:t>Author permissions/rights</w:t>
      </w:r>
    </w:p>
    <w:p w:rsidR="00F22301" w:rsidRPr="00C701C4" w:rsidRDefault="00C701C4" w:rsidP="00E623FC">
      <w:pPr>
        <w:pStyle w:val="ListParagraph"/>
        <w:numPr>
          <w:ilvl w:val="0"/>
          <w:numId w:val="6"/>
        </w:numPr>
        <w:spacing w:after="0"/>
        <w:rPr>
          <w:rFonts w:cstheme="minorHAnsi"/>
        </w:rPr>
      </w:pPr>
      <w:r w:rsidRPr="00C701C4">
        <w:rPr>
          <w:rFonts w:cstheme="minorHAnsi"/>
        </w:rPr>
        <w:t>The movement here is focused on</w:t>
      </w:r>
      <w:r w:rsidR="00F22301" w:rsidRPr="00C701C4">
        <w:rPr>
          <w:rFonts w:cstheme="minorHAnsi"/>
        </w:rPr>
        <w:t xml:space="preserve"> </w:t>
      </w:r>
      <w:r w:rsidRPr="00C701C4">
        <w:rPr>
          <w:rFonts w:cstheme="minorHAnsi"/>
        </w:rPr>
        <w:t>having authors learn their rights and retain them so that they can exercise their rights</w:t>
      </w:r>
      <w:r w:rsidR="007E2C1F" w:rsidRPr="00C701C4">
        <w:rPr>
          <w:rFonts w:cstheme="minorHAnsi"/>
        </w:rPr>
        <w:t xml:space="preserve"> to support scholarly </w:t>
      </w:r>
      <w:r w:rsidRPr="00C701C4">
        <w:rPr>
          <w:rFonts w:cstheme="minorHAnsi"/>
        </w:rPr>
        <w:t>communication</w:t>
      </w:r>
    </w:p>
    <w:p w:rsidR="007E2C1F" w:rsidRPr="00E35F57" w:rsidRDefault="007E2C1F" w:rsidP="00E623FC">
      <w:pPr>
        <w:pStyle w:val="ListParagraph"/>
        <w:numPr>
          <w:ilvl w:val="0"/>
          <w:numId w:val="6"/>
        </w:numPr>
        <w:rPr>
          <w:rFonts w:eastAsia="Times New Roman" w:cstheme="minorHAnsi"/>
        </w:rPr>
      </w:pPr>
      <w:r w:rsidRPr="00E35F57">
        <w:rPr>
          <w:rFonts w:eastAsia="Times New Roman" w:cstheme="minorHAnsi"/>
        </w:rPr>
        <w:t xml:space="preserve">Currently, most of the discussion is overly focused on copyright because it’s the biggest issue.  </w:t>
      </w:r>
    </w:p>
    <w:p w:rsidR="007E2C1F" w:rsidRPr="00E35F57" w:rsidRDefault="007E2C1F" w:rsidP="00E623FC">
      <w:pPr>
        <w:pStyle w:val="ListParagraph"/>
        <w:numPr>
          <w:ilvl w:val="0"/>
          <w:numId w:val="6"/>
        </w:numPr>
        <w:rPr>
          <w:rFonts w:eastAsia="Times New Roman" w:cstheme="minorHAnsi"/>
        </w:rPr>
      </w:pPr>
      <w:r w:rsidRPr="00E35F57">
        <w:rPr>
          <w:rFonts w:eastAsia="Times New Roman" w:cstheme="minorHAnsi"/>
        </w:rPr>
        <w:t xml:space="preserve">Copyright discussions also support </w:t>
      </w:r>
      <w:r w:rsidR="00E35F57" w:rsidRPr="00E35F57">
        <w:rPr>
          <w:rFonts w:eastAsia="Times New Roman" w:cstheme="minorHAnsi"/>
        </w:rPr>
        <w:t>discussions on other rights and their impact on scholarly publication. This includes m</w:t>
      </w:r>
      <w:r w:rsidRPr="00E35F57">
        <w:rPr>
          <w:rFonts w:eastAsia="Times New Roman" w:cstheme="minorHAnsi"/>
        </w:rPr>
        <w:t xml:space="preserve">oral </w:t>
      </w:r>
      <w:r w:rsidR="002F35FF">
        <w:rPr>
          <w:rFonts w:eastAsia="Times New Roman" w:cstheme="minorHAnsi"/>
        </w:rPr>
        <w:t>rights,</w:t>
      </w:r>
      <w:r w:rsidRPr="00E35F57">
        <w:rPr>
          <w:rFonts w:eastAsia="Times New Roman" w:cstheme="minorHAnsi"/>
        </w:rPr>
        <w:t xml:space="preserve"> cultural heritage rights</w:t>
      </w:r>
      <w:r w:rsidR="002F35FF">
        <w:rPr>
          <w:rFonts w:eastAsia="Times New Roman" w:cstheme="minorHAnsi"/>
        </w:rPr>
        <w:t>, and many others</w:t>
      </w:r>
      <w:r w:rsidR="00E35F57" w:rsidRPr="00E35F57">
        <w:rPr>
          <w:rFonts w:eastAsia="Times New Roman" w:cstheme="minorHAnsi"/>
        </w:rPr>
        <w:t xml:space="preserve">. </w:t>
      </w:r>
    </w:p>
    <w:p w:rsidR="007F7789" w:rsidRPr="002F35FF" w:rsidRDefault="00E35F57" w:rsidP="00E623FC">
      <w:pPr>
        <w:pStyle w:val="ListParagraph"/>
        <w:numPr>
          <w:ilvl w:val="0"/>
          <w:numId w:val="6"/>
        </w:numPr>
        <w:rPr>
          <w:rFonts w:eastAsia="Times New Roman" w:cstheme="minorHAnsi"/>
        </w:rPr>
      </w:pPr>
      <w:r w:rsidRPr="00E35F57">
        <w:rPr>
          <w:rFonts w:eastAsia="Times New Roman" w:cstheme="minorHAnsi"/>
        </w:rPr>
        <w:t xml:space="preserve">Moral </w:t>
      </w:r>
      <w:r w:rsidRPr="002F35FF">
        <w:rPr>
          <w:rFonts w:eastAsia="Times New Roman" w:cstheme="minorHAnsi"/>
        </w:rPr>
        <w:t>rights are</w:t>
      </w:r>
      <w:r w:rsidR="002F35FF" w:rsidRPr="002F35FF">
        <w:rPr>
          <w:rFonts w:eastAsia="Times New Roman" w:cstheme="minorHAnsi"/>
        </w:rPr>
        <w:t xml:space="preserve"> important to note</w:t>
      </w:r>
      <w:r w:rsidRPr="002F35FF">
        <w:rPr>
          <w:rFonts w:eastAsia="Times New Roman" w:cstheme="minorHAnsi"/>
        </w:rPr>
        <w:t>:</w:t>
      </w:r>
    </w:p>
    <w:p w:rsidR="002F35FF" w:rsidRPr="007F7789" w:rsidRDefault="002F35FF" w:rsidP="009A7B5F">
      <w:pPr>
        <w:pStyle w:val="ListParagraph"/>
        <w:numPr>
          <w:ilvl w:val="1"/>
          <w:numId w:val="6"/>
        </w:numPr>
        <w:rPr>
          <w:rFonts w:eastAsia="Times New Roman" w:cstheme="minorHAnsi"/>
        </w:rPr>
      </w:pPr>
      <w:r w:rsidRPr="007F7789">
        <w:rPr>
          <w:rFonts w:eastAsia="Times New Roman" w:cstheme="minorHAnsi"/>
        </w:rPr>
        <w:t>Moral rights include the right of attribution, the right to have a work published anonymously or pseudonymously, and the right to the integrity of the work. The preserving of the integrity of the work bars the work from alteration, distortion, or mutilation.</w:t>
      </w:r>
    </w:p>
    <w:p w:rsidR="002F35FF" w:rsidRPr="002F35FF" w:rsidRDefault="002F35FF" w:rsidP="009A7B5F">
      <w:pPr>
        <w:pStyle w:val="ListParagraph"/>
        <w:numPr>
          <w:ilvl w:val="1"/>
          <w:numId w:val="6"/>
        </w:numPr>
        <w:rPr>
          <w:rFonts w:eastAsia="Times New Roman" w:cstheme="minorHAnsi"/>
        </w:rPr>
      </w:pPr>
      <w:r w:rsidRPr="002F35FF">
        <w:rPr>
          <w:rFonts w:eastAsia="Times New Roman" w:cstheme="minorHAnsi"/>
        </w:rPr>
        <w:t xml:space="preserve">Moral rights in the US are supported only for certain types of artwork. They’re much more recognized internationally.  </w:t>
      </w:r>
    </w:p>
    <w:p w:rsidR="002F35FF" w:rsidRPr="002F35FF" w:rsidRDefault="002F35FF" w:rsidP="009A7B5F">
      <w:pPr>
        <w:pStyle w:val="ListParagraph"/>
        <w:numPr>
          <w:ilvl w:val="1"/>
          <w:numId w:val="6"/>
        </w:numPr>
        <w:rPr>
          <w:rFonts w:eastAsia="Times New Roman" w:cstheme="minorHAnsi"/>
        </w:rPr>
      </w:pPr>
      <w:r w:rsidRPr="002F35FF">
        <w:rPr>
          <w:rFonts w:eastAsia="Times New Roman" w:cstheme="minorHAnsi"/>
        </w:rPr>
        <w:t>For scholars, supporting moral rights is what we do. We provide attribution and proper representation because we have to in order to make scholarly arguments.</w:t>
      </w:r>
    </w:p>
    <w:p w:rsidR="00F22301" w:rsidRPr="00FC061C" w:rsidRDefault="002F35FF" w:rsidP="009A7B5F">
      <w:pPr>
        <w:pStyle w:val="ListParagraph"/>
        <w:numPr>
          <w:ilvl w:val="1"/>
          <w:numId w:val="6"/>
        </w:numPr>
        <w:rPr>
          <w:rFonts w:eastAsia="Times New Roman" w:cstheme="minorHAnsi"/>
        </w:rPr>
      </w:pPr>
      <w:r w:rsidRPr="002F35FF">
        <w:rPr>
          <w:rFonts w:eastAsia="Times New Roman" w:cstheme="minorHAnsi"/>
        </w:rPr>
        <w:t>M</w:t>
      </w:r>
      <w:r w:rsidR="009A7B5F">
        <w:rPr>
          <w:rFonts w:eastAsia="Times New Roman" w:cstheme="minorHAnsi"/>
        </w:rPr>
        <w:t xml:space="preserve">oral rights are sometimes used </w:t>
      </w:r>
      <w:r w:rsidRPr="002F35FF">
        <w:rPr>
          <w:rFonts w:eastAsia="Times New Roman" w:cstheme="minorHAnsi"/>
        </w:rPr>
        <w:t xml:space="preserve">to claim that copyright and moral rights allow a museum/library/archive holding a work that is in the public domain can require a licensing fee for scholars to use an image of that work. This is very complicated because the holding institution may be able to do this based on contractual agreements and policies, and they may need to do it to provide the service at all, but it isn’t </w:t>
      </w:r>
      <w:r w:rsidR="009A7B5F">
        <w:rPr>
          <w:rFonts w:eastAsia="Times New Roman" w:cstheme="minorHAnsi"/>
        </w:rPr>
        <w:t xml:space="preserve">normally </w:t>
      </w:r>
      <w:r w:rsidRPr="002F35FF">
        <w:rPr>
          <w:rFonts w:eastAsia="Times New Roman" w:cstheme="minorHAnsi"/>
        </w:rPr>
        <w:t xml:space="preserve">based on rights. The misunderstanding on rights has resulted in some institutions charging </w:t>
      </w:r>
      <w:r w:rsidR="009A7B5F">
        <w:rPr>
          <w:rFonts w:eastAsia="Times New Roman" w:cstheme="minorHAnsi"/>
        </w:rPr>
        <w:t>high</w:t>
      </w:r>
      <w:r w:rsidRPr="002F35FF">
        <w:rPr>
          <w:rFonts w:eastAsia="Times New Roman" w:cstheme="minorHAnsi"/>
        </w:rPr>
        <w:t xml:space="preserve"> fees for scholars to include images of artwork in scholarly publications</w:t>
      </w:r>
      <w:r w:rsidR="009A7B5F">
        <w:rPr>
          <w:rFonts w:eastAsia="Times New Roman" w:cstheme="minorHAnsi"/>
        </w:rPr>
        <w:t>, and in some scholars not being able to pay the fees and thus not being able to publish their work</w:t>
      </w:r>
      <w:r w:rsidRPr="002F35FF">
        <w:rPr>
          <w:rFonts w:eastAsia="Times New Roman" w:cstheme="minorHAnsi"/>
        </w:rPr>
        <w:t xml:space="preserve">. </w:t>
      </w:r>
      <w:r w:rsidR="009A7B5F">
        <w:rPr>
          <w:rFonts w:eastAsia="Times New Roman" w:cstheme="minorHAnsi"/>
        </w:rPr>
        <w:t xml:space="preserve">The holding institutions often need to charge something to allow for the digitization or sharing of the work at all, so this is a very complicated situation. </w:t>
      </w:r>
      <w:r w:rsidRPr="002F35FF">
        <w:rPr>
          <w:rFonts w:eastAsia="Times New Roman" w:cstheme="minorHAnsi"/>
        </w:rPr>
        <w:t xml:space="preserve">Because this is a very complicated situation, the best method for improving this is to share information. In </w:t>
      </w:r>
      <w:r w:rsidRPr="002F35FF">
        <w:rPr>
          <w:rFonts w:eastAsia="Times New Roman" w:cstheme="minorHAnsi"/>
          <w:i/>
        </w:rPr>
        <w:t>Permissions, A Survival Guide,</w:t>
      </w:r>
      <w:r w:rsidRPr="002F35FF">
        <w:rPr>
          <w:rFonts w:eastAsia="Times New Roman" w:cstheme="minorHAnsi"/>
        </w:rPr>
        <w:t xml:space="preserve"> Susan Bielstein recommends that scholars publish the void and the reasons for the void.</w:t>
      </w:r>
    </w:p>
    <w:p w:rsidR="00B57AAE" w:rsidRDefault="00E35F57" w:rsidP="00B57AAE">
      <w:pPr>
        <w:spacing w:after="0"/>
        <w:rPr>
          <w:rFonts w:cstheme="minorHAnsi"/>
        </w:rPr>
      </w:pPr>
      <w:r w:rsidRPr="00D75155">
        <w:rPr>
          <w:rFonts w:cstheme="minorHAnsi"/>
        </w:rPr>
        <w:lastRenderedPageBreak/>
        <w:t>IRs, Open Access journals, and author permissions/rights movements a</w:t>
      </w:r>
      <w:r w:rsidR="00787B08" w:rsidRPr="00D75155">
        <w:rPr>
          <w:rFonts w:cstheme="minorHAnsi"/>
        </w:rPr>
        <w:t xml:space="preserve">re changing </w:t>
      </w:r>
      <w:r w:rsidR="00AE4016" w:rsidRPr="00D75155">
        <w:rPr>
          <w:rFonts w:cstheme="minorHAnsi"/>
        </w:rPr>
        <w:t xml:space="preserve">the dynamics of </w:t>
      </w:r>
      <w:r w:rsidR="00787B08" w:rsidRPr="00D75155">
        <w:rPr>
          <w:rFonts w:cstheme="minorHAnsi"/>
        </w:rPr>
        <w:t>scholarly</w:t>
      </w:r>
      <w:r w:rsidR="009A7B5F">
        <w:rPr>
          <w:rFonts w:cstheme="minorHAnsi"/>
        </w:rPr>
        <w:t xml:space="preserve"> communications and scholarly</w:t>
      </w:r>
      <w:r w:rsidR="00787B08" w:rsidRPr="00D75155">
        <w:rPr>
          <w:rFonts w:cstheme="minorHAnsi"/>
        </w:rPr>
        <w:t xml:space="preserve"> publication</w:t>
      </w:r>
      <w:r w:rsidR="00AE4016" w:rsidRPr="00D75155">
        <w:rPr>
          <w:rFonts w:cstheme="minorHAnsi"/>
        </w:rPr>
        <w:t xml:space="preserve"> in order to ensu</w:t>
      </w:r>
      <w:r w:rsidR="006B7B2A">
        <w:rPr>
          <w:rFonts w:cstheme="minorHAnsi"/>
        </w:rPr>
        <w:t>re scholarly publication meets its</w:t>
      </w:r>
      <w:r w:rsidR="00AE4016" w:rsidRPr="00D75155">
        <w:rPr>
          <w:rFonts w:cstheme="minorHAnsi"/>
        </w:rPr>
        <w:t xml:space="preserve"> core goal: contributing to and disseminating knowledge</w:t>
      </w:r>
      <w:r w:rsidR="00AE4016" w:rsidRPr="00AB285A">
        <w:rPr>
          <w:rFonts w:cstheme="minorHAnsi"/>
        </w:rPr>
        <w:t xml:space="preserve">. </w:t>
      </w:r>
      <w:r w:rsidR="00F45672">
        <w:rPr>
          <w:rFonts w:cstheme="minorHAnsi"/>
        </w:rPr>
        <w:t xml:space="preserve"> </w:t>
      </w:r>
      <w:r w:rsidR="00B57AAE" w:rsidRPr="00AB285A">
        <w:rPr>
          <w:rFonts w:cstheme="minorHAnsi"/>
        </w:rPr>
        <w:t xml:space="preserve">These factors </w:t>
      </w:r>
      <w:r w:rsidR="00F45672" w:rsidRPr="00AB285A">
        <w:rPr>
          <w:rFonts w:cstheme="minorHAnsi"/>
        </w:rPr>
        <w:t xml:space="preserve">are also </w:t>
      </w:r>
      <w:r w:rsidR="00B57AAE" w:rsidRPr="00AB285A">
        <w:rPr>
          <w:rFonts w:cstheme="minorHAnsi"/>
        </w:rPr>
        <w:t>changing the fundamental definition</w:t>
      </w:r>
      <w:r w:rsidR="009A7B5F">
        <w:rPr>
          <w:rFonts w:cstheme="minorHAnsi"/>
        </w:rPr>
        <w:t>s</w:t>
      </w:r>
      <w:r w:rsidR="00B57AAE" w:rsidRPr="00AB285A">
        <w:rPr>
          <w:rFonts w:cstheme="minorHAnsi"/>
        </w:rPr>
        <w:t xml:space="preserve"> of scholarly publication.</w:t>
      </w:r>
      <w:r w:rsidR="009C0B2C">
        <w:rPr>
          <w:rFonts w:cstheme="minorHAnsi"/>
        </w:rPr>
        <w:t xml:space="preserve"> </w:t>
      </w:r>
    </w:p>
    <w:p w:rsidR="00822DC5" w:rsidRPr="00AB285A" w:rsidRDefault="00822DC5" w:rsidP="007B561A">
      <w:pPr>
        <w:spacing w:after="0"/>
        <w:rPr>
          <w:rFonts w:cstheme="minorHAnsi"/>
        </w:rPr>
      </w:pPr>
    </w:p>
    <w:p w:rsidR="00185CF3" w:rsidRPr="00AB285A" w:rsidRDefault="00195B11" w:rsidP="007B561A">
      <w:pPr>
        <w:spacing w:after="0"/>
        <w:rPr>
          <w:rFonts w:cstheme="minorHAnsi"/>
        </w:rPr>
      </w:pPr>
      <w:r w:rsidRPr="00AB285A">
        <w:rPr>
          <w:rFonts w:cstheme="minorHAnsi"/>
        </w:rPr>
        <w:t xml:space="preserve">The capacity to make </w:t>
      </w:r>
      <w:r w:rsidR="00B57AAE" w:rsidRPr="00AB285A">
        <w:rPr>
          <w:rFonts w:cstheme="minorHAnsi"/>
        </w:rPr>
        <w:t>scholarly publica</w:t>
      </w:r>
      <w:r w:rsidRPr="00AB285A">
        <w:rPr>
          <w:rFonts w:cstheme="minorHAnsi"/>
        </w:rPr>
        <w:t>tions widely accessible allows for new ways of showing scholarly impact, including through new ways of doing scholarship and doing public scholarship.</w:t>
      </w:r>
    </w:p>
    <w:p w:rsidR="00787B08" w:rsidRPr="00AB285A" w:rsidRDefault="00787B08" w:rsidP="007B561A">
      <w:pPr>
        <w:spacing w:after="0"/>
        <w:rPr>
          <w:rFonts w:cstheme="minorHAnsi"/>
        </w:rPr>
      </w:pPr>
    </w:p>
    <w:p w:rsidR="00006F66" w:rsidRDefault="00006F66" w:rsidP="007B561A">
      <w:pPr>
        <w:spacing w:after="0"/>
        <w:rPr>
          <w:rFonts w:cstheme="minorHAnsi"/>
          <w:b/>
        </w:rPr>
      </w:pPr>
      <w:r>
        <w:rPr>
          <w:rFonts w:cstheme="minorHAnsi"/>
          <w:b/>
        </w:rPr>
        <w:t xml:space="preserve">SCHOLARLY </w:t>
      </w:r>
      <w:r w:rsidR="009A7B5F">
        <w:rPr>
          <w:rFonts w:cstheme="minorHAnsi"/>
          <w:b/>
        </w:rPr>
        <w:t xml:space="preserve">COMMUNICATIONS AND </w:t>
      </w:r>
      <w:r>
        <w:rPr>
          <w:rFonts w:cstheme="minorHAnsi"/>
          <w:b/>
        </w:rPr>
        <w:t xml:space="preserve">PUBLICATION </w:t>
      </w:r>
    </w:p>
    <w:p w:rsidR="00006F66" w:rsidRDefault="00006F66" w:rsidP="007B561A">
      <w:pPr>
        <w:spacing w:after="0"/>
        <w:rPr>
          <w:rFonts w:cstheme="minorHAnsi"/>
          <w:b/>
        </w:rPr>
      </w:pPr>
    </w:p>
    <w:p w:rsidR="00282905" w:rsidRDefault="00822DC5" w:rsidP="00282905">
      <w:pPr>
        <w:spacing w:after="0"/>
        <w:rPr>
          <w:rFonts w:cstheme="minorHAnsi"/>
        </w:rPr>
      </w:pPr>
      <w:r w:rsidRPr="00AB285A">
        <w:rPr>
          <w:rFonts w:cstheme="minorHAnsi"/>
        </w:rPr>
        <w:t xml:space="preserve">Turning to our third topic of the day, Scholarly </w:t>
      </w:r>
      <w:r w:rsidR="009A7B5F">
        <w:rPr>
          <w:rFonts w:cstheme="minorHAnsi"/>
        </w:rPr>
        <w:t xml:space="preserve">Communications and Scholarly </w:t>
      </w:r>
      <w:r w:rsidRPr="00AB285A">
        <w:rPr>
          <w:rFonts w:cstheme="minorHAnsi"/>
        </w:rPr>
        <w:t xml:space="preserve">Publication, this class and things like it are critical for scholars with the changes and possibilities with scholarly </w:t>
      </w:r>
      <w:r w:rsidR="009A7B5F">
        <w:rPr>
          <w:rFonts w:cstheme="minorHAnsi"/>
        </w:rPr>
        <w:t xml:space="preserve">communications and </w:t>
      </w:r>
      <w:r w:rsidRPr="00AB285A">
        <w:rPr>
          <w:rFonts w:cstheme="minorHAnsi"/>
        </w:rPr>
        <w:t>publication.</w:t>
      </w:r>
      <w:r w:rsidR="00282905">
        <w:rPr>
          <w:rFonts w:cstheme="minorHAnsi"/>
        </w:rPr>
        <w:t xml:space="preserve"> </w:t>
      </w:r>
      <w:r w:rsidRPr="00AB285A">
        <w:rPr>
          <w:rFonts w:cstheme="minorHAnsi"/>
        </w:rPr>
        <w:t>The s</w:t>
      </w:r>
      <w:r w:rsidR="00FC53F5" w:rsidRPr="00AB285A">
        <w:rPr>
          <w:rFonts w:cstheme="minorHAnsi"/>
        </w:rPr>
        <w:t>yllabus up to now has covered different resources from more es</w:t>
      </w:r>
      <w:r w:rsidR="00B427B2" w:rsidRPr="00AB285A">
        <w:rPr>
          <w:rFonts w:cstheme="minorHAnsi"/>
        </w:rPr>
        <w:t xml:space="preserve">tablished sources and venues. </w:t>
      </w:r>
      <w:r w:rsidR="00FC53F5" w:rsidRPr="00AB285A">
        <w:rPr>
          <w:rFonts w:cstheme="minorHAnsi"/>
        </w:rPr>
        <w:t xml:space="preserve">Dan’s introduction notes from the first class </w:t>
      </w:r>
      <w:r w:rsidR="00B427B2" w:rsidRPr="00AB285A">
        <w:rPr>
          <w:rFonts w:cstheme="minorHAnsi"/>
        </w:rPr>
        <w:t>situate both the class as a whole and scholarly publication itself.</w:t>
      </w:r>
    </w:p>
    <w:p w:rsidR="00282905" w:rsidRDefault="00282905" w:rsidP="00282905">
      <w:pPr>
        <w:spacing w:after="0"/>
        <w:rPr>
          <w:rFonts w:cstheme="minorHAnsi"/>
        </w:rPr>
      </w:pPr>
    </w:p>
    <w:p w:rsidR="00C45950" w:rsidRDefault="00B427B2" w:rsidP="00282905">
      <w:pPr>
        <w:spacing w:after="0"/>
        <w:rPr>
          <w:rFonts w:cstheme="minorHAnsi"/>
        </w:rPr>
      </w:pPr>
      <w:r w:rsidRPr="00AB285A">
        <w:rPr>
          <w:rFonts w:cstheme="minorHAnsi"/>
        </w:rPr>
        <w:t xml:space="preserve">In the introduction, Dan writes: </w:t>
      </w:r>
    </w:p>
    <w:p w:rsidR="00FC53F5" w:rsidRPr="00282905" w:rsidRDefault="00FC53F5" w:rsidP="00C45950">
      <w:pPr>
        <w:spacing w:after="0"/>
        <w:ind w:left="720"/>
        <w:rPr>
          <w:rFonts w:cstheme="minorHAnsi"/>
        </w:rPr>
      </w:pPr>
      <w:r w:rsidRPr="00AB285A">
        <w:rPr>
          <w:rFonts w:cstheme="minorHAnsi"/>
        </w:rPr>
        <w:t>“</w:t>
      </w:r>
      <w:r w:rsidRPr="00AB285A">
        <w:rPr>
          <w:rFonts w:eastAsia="Times New Roman" w:cstheme="minorHAnsi"/>
        </w:rPr>
        <w:t>How are library materials organized? A broad understanding of some principles of organization is helpf</w:t>
      </w:r>
      <w:r w:rsidR="00001426" w:rsidRPr="00AB285A">
        <w:rPr>
          <w:rFonts w:eastAsia="Times New Roman" w:cstheme="minorHAnsi"/>
        </w:rPr>
        <w:t>ul to the researcher encountering a large library for the first time</w:t>
      </w:r>
      <w:r w:rsidRPr="00AB285A">
        <w:rPr>
          <w:rFonts w:eastAsia="Times New Roman" w:cstheme="minorHAnsi"/>
        </w:rPr>
        <w:t xml:space="preserve">. At each stage of their creation and maintenance, area studies collections are "messy" and more difficult to support and work with than disciplinary collections. Scholars and librarians must work closely with each other if the collections they create and use together are to be dynamic, relevant, and useful for ongoing teaching and research. Area studies collections are more diverse than disciplinary collections along as many dimensions as one can imagine.” </w:t>
      </w:r>
      <w:r w:rsidR="00B427B2" w:rsidRPr="00AB285A">
        <w:rPr>
          <w:rFonts w:cstheme="minorHAnsi"/>
        </w:rPr>
        <w:t>(</w:t>
      </w:r>
      <w:hyperlink r:id="rId17" w:history="1">
        <w:r w:rsidR="00B427B2" w:rsidRPr="00AB285A">
          <w:rPr>
            <w:rStyle w:val="Hyperlink"/>
            <w:rFonts w:cstheme="minorHAnsi"/>
          </w:rPr>
          <w:t>http://www.uflib.ufl.edu/spec/africana/introduction.htm</w:t>
        </w:r>
      </w:hyperlink>
      <w:r w:rsidR="00B427B2" w:rsidRPr="00AB285A">
        <w:rPr>
          <w:rFonts w:cstheme="minorHAnsi"/>
        </w:rPr>
        <w:t>)</w:t>
      </w:r>
    </w:p>
    <w:p w:rsidR="00282905" w:rsidRDefault="00282905" w:rsidP="00006F66">
      <w:pPr>
        <w:spacing w:after="0"/>
        <w:rPr>
          <w:rFonts w:eastAsia="Times New Roman" w:cstheme="minorHAnsi"/>
        </w:rPr>
      </w:pPr>
    </w:p>
    <w:p w:rsidR="00FC53F5" w:rsidRPr="00AB285A" w:rsidRDefault="00FC53F5" w:rsidP="00006F66">
      <w:pPr>
        <w:spacing w:after="0"/>
        <w:rPr>
          <w:rFonts w:eastAsia="Times New Roman" w:cstheme="minorHAnsi"/>
        </w:rPr>
      </w:pPr>
      <w:r w:rsidRPr="00AB285A">
        <w:rPr>
          <w:rFonts w:eastAsia="Times New Roman" w:cstheme="minorHAnsi"/>
        </w:rPr>
        <w:t xml:space="preserve">Several points </w:t>
      </w:r>
      <w:r w:rsidR="00202A96" w:rsidRPr="00AB285A">
        <w:rPr>
          <w:rFonts w:eastAsia="Times New Roman" w:cstheme="minorHAnsi"/>
        </w:rPr>
        <w:t>from this are relevant to discussions of scholarly publications</w:t>
      </w:r>
      <w:r w:rsidRPr="00AB285A">
        <w:rPr>
          <w:rFonts w:eastAsia="Times New Roman" w:cstheme="minorHAnsi"/>
        </w:rPr>
        <w:t>:</w:t>
      </w:r>
    </w:p>
    <w:p w:rsidR="00DD109D" w:rsidRPr="00AB285A" w:rsidRDefault="00FC53F5" w:rsidP="00006F66">
      <w:pPr>
        <w:pStyle w:val="ListParagraph"/>
        <w:numPr>
          <w:ilvl w:val="0"/>
          <w:numId w:val="2"/>
        </w:numPr>
        <w:spacing w:after="0"/>
        <w:rPr>
          <w:rFonts w:eastAsia="Times New Roman" w:cstheme="minorHAnsi"/>
        </w:rPr>
      </w:pPr>
      <w:r w:rsidRPr="00AB285A">
        <w:rPr>
          <w:rFonts w:eastAsia="Times New Roman" w:cstheme="minorHAnsi"/>
        </w:rPr>
        <w:t>All collections are messy</w:t>
      </w:r>
      <w:r w:rsidR="00A7258B" w:rsidRPr="00AB285A">
        <w:rPr>
          <w:rFonts w:eastAsia="Times New Roman" w:cstheme="minorHAnsi"/>
        </w:rPr>
        <w:t xml:space="preserve">. </w:t>
      </w:r>
      <w:r w:rsidRPr="00AB285A">
        <w:rPr>
          <w:rFonts w:eastAsia="Times New Roman" w:cstheme="minorHAnsi"/>
        </w:rPr>
        <w:t>Especially digital</w:t>
      </w:r>
      <w:r w:rsidR="00A7258B" w:rsidRPr="00AB285A">
        <w:rPr>
          <w:rFonts w:eastAsia="Times New Roman" w:cstheme="minorHAnsi"/>
        </w:rPr>
        <w:t>.</w:t>
      </w:r>
    </w:p>
    <w:p w:rsidR="00FC53F5" w:rsidRPr="00AB285A" w:rsidRDefault="000E4247" w:rsidP="00A7258B">
      <w:pPr>
        <w:pStyle w:val="ListParagraph"/>
        <w:numPr>
          <w:ilvl w:val="0"/>
          <w:numId w:val="2"/>
        </w:numPr>
        <w:rPr>
          <w:rFonts w:eastAsia="Times New Roman" w:cstheme="minorHAnsi"/>
        </w:rPr>
      </w:pPr>
      <w:r>
        <w:rPr>
          <w:rFonts w:eastAsia="Times New Roman" w:cstheme="minorHAnsi"/>
        </w:rPr>
        <w:t>We often hear that we’re living in an age of</w:t>
      </w:r>
      <w:r w:rsidR="00FC53F5" w:rsidRPr="00AB285A">
        <w:rPr>
          <w:rFonts w:eastAsia="Times New Roman" w:cstheme="minorHAnsi"/>
        </w:rPr>
        <w:t xml:space="preserve"> information overloa</w:t>
      </w:r>
      <w:r>
        <w:rPr>
          <w:rFonts w:eastAsia="Times New Roman" w:cstheme="minorHAnsi"/>
        </w:rPr>
        <w:t>d</w:t>
      </w:r>
      <w:r w:rsidR="00FC53F5" w:rsidRPr="00AB285A">
        <w:rPr>
          <w:rFonts w:eastAsia="Times New Roman" w:cstheme="minorHAnsi"/>
        </w:rPr>
        <w:t>,</w:t>
      </w:r>
      <w:r>
        <w:rPr>
          <w:rFonts w:eastAsia="Times New Roman" w:cstheme="minorHAnsi"/>
        </w:rPr>
        <w:t xml:space="preserve"> which is true but it isn’t anything new. T</w:t>
      </w:r>
      <w:r w:rsidR="00FC53F5" w:rsidRPr="00AB285A">
        <w:rPr>
          <w:rFonts w:eastAsia="Times New Roman" w:cstheme="minorHAnsi"/>
        </w:rPr>
        <w:t xml:space="preserve">his </w:t>
      </w:r>
      <w:r>
        <w:rPr>
          <w:rFonts w:eastAsia="Times New Roman" w:cstheme="minorHAnsi"/>
        </w:rPr>
        <w:t xml:space="preserve">was </w:t>
      </w:r>
      <w:r w:rsidR="0090647C">
        <w:rPr>
          <w:rFonts w:eastAsia="Times New Roman" w:cstheme="minorHAnsi"/>
        </w:rPr>
        <w:t xml:space="preserve">already </w:t>
      </w:r>
      <w:r>
        <w:rPr>
          <w:rFonts w:eastAsia="Times New Roman" w:cstheme="minorHAnsi"/>
        </w:rPr>
        <w:t xml:space="preserve">the case immediately after WWII when </w:t>
      </w:r>
      <w:r w:rsidR="00FC53F5" w:rsidRPr="00AB285A">
        <w:rPr>
          <w:rFonts w:eastAsia="Times New Roman" w:cstheme="minorHAnsi"/>
        </w:rPr>
        <w:t xml:space="preserve">Vannevar Bush </w:t>
      </w:r>
      <w:r>
        <w:rPr>
          <w:rFonts w:eastAsia="Times New Roman" w:cstheme="minorHAnsi"/>
        </w:rPr>
        <w:t>wrote of his idea for the</w:t>
      </w:r>
      <w:r w:rsidR="00FC53F5" w:rsidRPr="00AB285A">
        <w:rPr>
          <w:rFonts w:eastAsia="Times New Roman" w:cstheme="minorHAnsi"/>
        </w:rPr>
        <w:t xml:space="preserve"> Memex to cope with information overload. While </w:t>
      </w:r>
      <w:r w:rsidR="005931DA">
        <w:rPr>
          <w:rFonts w:eastAsia="Times New Roman" w:cstheme="minorHAnsi"/>
        </w:rPr>
        <w:t>his concept wa</w:t>
      </w:r>
      <w:r w:rsidR="00FC53F5" w:rsidRPr="00AB285A">
        <w:rPr>
          <w:rFonts w:eastAsia="Times New Roman" w:cstheme="minorHAnsi"/>
        </w:rPr>
        <w:t xml:space="preserve">s based on microfilm technologies, </w:t>
      </w:r>
      <w:r w:rsidR="006973F2">
        <w:rPr>
          <w:rFonts w:eastAsia="Times New Roman" w:cstheme="minorHAnsi"/>
        </w:rPr>
        <w:t xml:space="preserve">the </w:t>
      </w:r>
      <w:r w:rsidR="00FC53F5" w:rsidRPr="00AB285A">
        <w:rPr>
          <w:rFonts w:eastAsia="Times New Roman" w:cstheme="minorHAnsi"/>
        </w:rPr>
        <w:t xml:space="preserve">intent </w:t>
      </w:r>
      <w:r w:rsidR="006973F2">
        <w:rPr>
          <w:rFonts w:eastAsia="Times New Roman" w:cstheme="minorHAnsi"/>
        </w:rPr>
        <w:t>was access of the type made possible</w:t>
      </w:r>
      <w:r w:rsidR="00FC53F5" w:rsidRPr="00AB285A">
        <w:rPr>
          <w:rFonts w:eastAsia="Times New Roman" w:cstheme="minorHAnsi"/>
        </w:rPr>
        <w:t xml:space="preserve"> with computing and the internet. </w:t>
      </w:r>
    </w:p>
    <w:p w:rsidR="00A7258B" w:rsidRPr="00AB285A" w:rsidRDefault="00354374" w:rsidP="00A7258B">
      <w:pPr>
        <w:pStyle w:val="ListParagraph"/>
        <w:numPr>
          <w:ilvl w:val="0"/>
          <w:numId w:val="2"/>
        </w:numPr>
        <w:rPr>
          <w:rFonts w:eastAsia="Times New Roman" w:cstheme="minorHAnsi"/>
        </w:rPr>
      </w:pPr>
      <w:r>
        <w:rPr>
          <w:rFonts w:eastAsia="Times New Roman" w:cstheme="minorHAnsi"/>
        </w:rPr>
        <w:t>In acute information overload, simple access through more digital and digitization</w:t>
      </w:r>
      <w:r w:rsidR="00A7258B" w:rsidRPr="00AB285A">
        <w:rPr>
          <w:rFonts w:eastAsia="Times New Roman" w:cstheme="minorHAnsi"/>
        </w:rPr>
        <w:t xml:space="preserve"> doesn’t necessarily help the situation. It can easily hurt</w:t>
      </w:r>
      <w:r w:rsidR="002F304F">
        <w:rPr>
          <w:rFonts w:eastAsia="Times New Roman" w:cstheme="minorHAnsi"/>
        </w:rPr>
        <w:t xml:space="preserve"> if it isn’t accompanied by the necessary supports</w:t>
      </w:r>
      <w:r w:rsidR="00A7258B" w:rsidRPr="00AB285A">
        <w:rPr>
          <w:rFonts w:eastAsia="Times New Roman" w:cstheme="minorHAnsi"/>
        </w:rPr>
        <w:t>.</w:t>
      </w:r>
    </w:p>
    <w:p w:rsidR="00DD109D" w:rsidRPr="00AB285A" w:rsidRDefault="00DD109D" w:rsidP="00DD109D">
      <w:pPr>
        <w:rPr>
          <w:rFonts w:eastAsia="Times New Roman" w:cstheme="minorHAnsi"/>
        </w:rPr>
      </w:pPr>
      <w:r w:rsidRPr="00AB285A">
        <w:rPr>
          <w:rFonts w:eastAsia="Times New Roman" w:cstheme="minorHAnsi"/>
        </w:rPr>
        <w:t>The solution for scholarly publication is the same as Dan has already explained for researchers working with disciplinary collections, and it bears repeating:</w:t>
      </w:r>
    </w:p>
    <w:p w:rsidR="00933846" w:rsidRPr="00AB285A" w:rsidRDefault="00DD109D" w:rsidP="00933846">
      <w:pPr>
        <w:ind w:left="360"/>
        <w:rPr>
          <w:rFonts w:eastAsia="Times New Roman" w:cstheme="minorHAnsi"/>
        </w:rPr>
      </w:pPr>
      <w:r w:rsidRPr="00AB285A">
        <w:rPr>
          <w:rFonts w:eastAsia="Times New Roman" w:cstheme="minorHAnsi"/>
        </w:rPr>
        <w:t>“Scholars and librarians must work closely with each other if the collections they create and use together are to be dynamic, relevant, and useful fo</w:t>
      </w:r>
      <w:r w:rsidR="008D07CF">
        <w:rPr>
          <w:rFonts w:eastAsia="Times New Roman" w:cstheme="minorHAnsi"/>
        </w:rPr>
        <w:t>r ongoing teaching and research</w:t>
      </w:r>
      <w:r w:rsidRPr="00AB285A">
        <w:rPr>
          <w:rFonts w:eastAsia="Times New Roman" w:cstheme="minorHAnsi"/>
        </w:rPr>
        <w:t>.”</w:t>
      </w:r>
    </w:p>
    <w:p w:rsidR="009F5FD8" w:rsidRDefault="00F90F6A" w:rsidP="00933846">
      <w:pPr>
        <w:rPr>
          <w:rFonts w:eastAsia="Times New Roman" w:cstheme="minorHAnsi"/>
        </w:rPr>
      </w:pPr>
      <w:r w:rsidRPr="00AB285A">
        <w:rPr>
          <w:rFonts w:eastAsia="Times New Roman" w:cstheme="minorHAnsi"/>
        </w:rPr>
        <w:lastRenderedPageBreak/>
        <w:t>Scholars and librarians must work together</w:t>
      </w:r>
      <w:r w:rsidR="00933846" w:rsidRPr="00AB285A">
        <w:rPr>
          <w:rFonts w:eastAsia="Times New Roman" w:cstheme="minorHAnsi"/>
        </w:rPr>
        <w:t xml:space="preserve"> for Area Studies, and this library-scholar collaboration is a growing need for all fields. </w:t>
      </w:r>
      <w:r w:rsidR="001E5188" w:rsidRPr="00AB285A">
        <w:rPr>
          <w:rFonts w:eastAsia="Times New Roman" w:cstheme="minorHAnsi"/>
        </w:rPr>
        <w:t xml:space="preserve">This collaboration is needed </w:t>
      </w:r>
      <w:r w:rsidR="002876D7" w:rsidRPr="00AB285A">
        <w:rPr>
          <w:rFonts w:eastAsia="Times New Roman" w:cstheme="minorHAnsi"/>
        </w:rPr>
        <w:t xml:space="preserve">to gain access to traditional materials and to ensure the products of scholarly research, of your work, is accessible, preserved, and usable. </w:t>
      </w:r>
    </w:p>
    <w:p w:rsidR="002876D7" w:rsidRPr="00AB285A" w:rsidRDefault="002876D7" w:rsidP="00933846">
      <w:pPr>
        <w:rPr>
          <w:rFonts w:eastAsia="Times New Roman" w:cstheme="minorHAnsi"/>
        </w:rPr>
      </w:pPr>
      <w:r w:rsidRPr="00AB285A">
        <w:rPr>
          <w:rFonts w:eastAsia="Times New Roman" w:cstheme="minorHAnsi"/>
        </w:rPr>
        <w:t xml:space="preserve">“Usable” for scholarly works means many things including that the materials should be supported in a systematic way to allow the research to thrive. Research published only in print can survive and be accessible, albeit in limit ways, through the work of libraries in cataloging, collecting, preserving, and generally supporting the printed materials. Research that is electronic or digital, born or re-born into the networked world with the Internet, can do more than survive. It can thrive.  </w:t>
      </w:r>
    </w:p>
    <w:p w:rsidR="00FE5E8F" w:rsidRPr="00AB285A" w:rsidRDefault="00FE5E8F" w:rsidP="007F7789">
      <w:pPr>
        <w:spacing w:after="0"/>
        <w:rPr>
          <w:rFonts w:eastAsia="Times New Roman" w:cstheme="minorHAnsi"/>
        </w:rPr>
      </w:pPr>
      <w:r w:rsidRPr="00AB285A">
        <w:rPr>
          <w:rFonts w:eastAsia="Times New Roman" w:cstheme="minorHAnsi"/>
        </w:rPr>
        <w:t xml:space="preserve">This is what scholarly publication changes seek to do: build from a tradition that sustains access and preservation </w:t>
      </w:r>
      <w:r w:rsidR="002F304F">
        <w:rPr>
          <w:rFonts w:eastAsia="Times New Roman" w:cstheme="minorHAnsi"/>
        </w:rPr>
        <w:t xml:space="preserve">in order </w:t>
      </w:r>
      <w:r w:rsidRPr="00AB285A">
        <w:rPr>
          <w:rFonts w:eastAsia="Times New Roman" w:cstheme="minorHAnsi"/>
        </w:rPr>
        <w:t xml:space="preserve">to increase use and impact. This can be done by: </w:t>
      </w:r>
    </w:p>
    <w:p w:rsidR="00FE5E8F" w:rsidRPr="00AB285A" w:rsidRDefault="00FE5E8F" w:rsidP="007F7789">
      <w:pPr>
        <w:pStyle w:val="ListParagraph"/>
        <w:numPr>
          <w:ilvl w:val="0"/>
          <w:numId w:val="7"/>
        </w:numPr>
        <w:spacing w:after="0"/>
        <w:rPr>
          <w:rFonts w:eastAsia="Times New Roman" w:cstheme="minorHAnsi"/>
        </w:rPr>
      </w:pPr>
      <w:r w:rsidRPr="00AB285A">
        <w:rPr>
          <w:rFonts w:eastAsia="Times New Roman" w:cstheme="minorHAnsi"/>
        </w:rPr>
        <w:t>Adding research to an IR</w:t>
      </w:r>
      <w:r w:rsidR="00EE2CDA">
        <w:rPr>
          <w:rFonts w:eastAsia="Times New Roman" w:cstheme="minorHAnsi"/>
        </w:rPr>
        <w:t xml:space="preserve"> or subject-based repository</w:t>
      </w:r>
      <w:r w:rsidRPr="00AB285A">
        <w:rPr>
          <w:rFonts w:eastAsia="Times New Roman" w:cstheme="minorHAnsi"/>
        </w:rPr>
        <w:t xml:space="preserve"> which is optimized for search engines to increase findability</w:t>
      </w:r>
    </w:p>
    <w:p w:rsidR="003D69AC" w:rsidRPr="005C4970" w:rsidRDefault="00FE5E8F" w:rsidP="003D69AC">
      <w:pPr>
        <w:pStyle w:val="ListParagraph"/>
        <w:numPr>
          <w:ilvl w:val="0"/>
          <w:numId w:val="7"/>
        </w:numPr>
        <w:rPr>
          <w:rFonts w:eastAsia="Times New Roman" w:cstheme="minorHAnsi"/>
        </w:rPr>
      </w:pPr>
      <w:r w:rsidRPr="00AB285A">
        <w:rPr>
          <w:rFonts w:eastAsia="Times New Roman" w:cstheme="minorHAnsi"/>
        </w:rPr>
        <w:t xml:space="preserve">Increasing sensibility by </w:t>
      </w:r>
      <w:r w:rsidR="002876D7" w:rsidRPr="00AB285A">
        <w:rPr>
          <w:rFonts w:eastAsia="Times New Roman" w:cstheme="minorHAnsi"/>
        </w:rPr>
        <w:t>contextualiz</w:t>
      </w:r>
      <w:r w:rsidRPr="00AB285A">
        <w:rPr>
          <w:rFonts w:eastAsia="Times New Roman" w:cstheme="minorHAnsi"/>
        </w:rPr>
        <w:t xml:space="preserve">ing </w:t>
      </w:r>
      <w:r w:rsidRPr="002D4A83">
        <w:rPr>
          <w:rFonts w:eastAsia="Times New Roman" w:cstheme="minorHAnsi"/>
        </w:rPr>
        <w:t>materials with other materials that speak to each other. This can mean curating digital collections and exhibits as well as work such as creating contextualizing material</w:t>
      </w:r>
      <w:r w:rsidR="002D4A83">
        <w:rPr>
          <w:rFonts w:eastAsia="Times New Roman" w:cstheme="minorHAnsi"/>
        </w:rPr>
        <w:t>. All of you are doing this work in the class in creating</w:t>
      </w:r>
      <w:r w:rsidRPr="002D4A83">
        <w:rPr>
          <w:rFonts w:eastAsia="Times New Roman" w:cstheme="minorHAnsi"/>
        </w:rPr>
        <w:t xml:space="preserve"> annotated bibliographies.</w:t>
      </w:r>
      <w:r w:rsidRPr="00AB285A">
        <w:rPr>
          <w:rFonts w:eastAsia="Times New Roman" w:cstheme="minorHAnsi"/>
        </w:rPr>
        <w:t xml:space="preserve"> </w:t>
      </w:r>
    </w:p>
    <w:p w:rsidR="00790FD1" w:rsidRPr="00D723EE" w:rsidRDefault="00D723EE" w:rsidP="007F7789">
      <w:pPr>
        <w:spacing w:after="0"/>
        <w:rPr>
          <w:rFonts w:eastAsia="Times New Roman" w:cstheme="minorHAnsi"/>
          <w:b/>
        </w:rPr>
      </w:pPr>
      <w:r w:rsidRPr="00D723EE">
        <w:rPr>
          <w:rFonts w:eastAsia="Times New Roman" w:cstheme="minorHAnsi"/>
          <w:b/>
        </w:rPr>
        <w:t>Lecture Conclusion and Q/A</w:t>
      </w:r>
    </w:p>
    <w:p w:rsidR="00D723EE" w:rsidRPr="00D723EE" w:rsidRDefault="00D723EE" w:rsidP="007F7789">
      <w:pPr>
        <w:pStyle w:val="ListParagraph"/>
        <w:numPr>
          <w:ilvl w:val="0"/>
          <w:numId w:val="10"/>
        </w:numPr>
        <w:spacing w:after="0"/>
        <w:rPr>
          <w:rFonts w:eastAsia="Times New Roman" w:cstheme="minorHAnsi"/>
        </w:rPr>
      </w:pPr>
      <w:r w:rsidRPr="00D723EE">
        <w:rPr>
          <w:rFonts w:eastAsia="Times New Roman" w:cstheme="minorHAnsi"/>
        </w:rPr>
        <w:t>This concludes my lecture for today. Are there any questions at this point?</w:t>
      </w:r>
    </w:p>
    <w:p w:rsidR="007F7789" w:rsidRDefault="007F7789" w:rsidP="007F7789">
      <w:pPr>
        <w:rPr>
          <w:rFonts w:eastAsia="Times New Roman" w:cstheme="minorHAnsi"/>
          <w:b/>
        </w:rPr>
      </w:pPr>
      <w:r>
        <w:rPr>
          <w:rFonts w:eastAsia="Times New Roman" w:cstheme="minorHAnsi"/>
          <w:b/>
        </w:rPr>
        <w:br/>
      </w:r>
      <w:r w:rsidR="00D723EE">
        <w:rPr>
          <w:rFonts w:eastAsia="Times New Roman" w:cstheme="minorHAnsi"/>
          <w:b/>
        </w:rPr>
        <w:t>IR@UF Demonstration</w:t>
      </w:r>
      <w:r w:rsidR="00006F66">
        <w:rPr>
          <w:rFonts w:eastAsia="Times New Roman" w:cstheme="minorHAnsi"/>
          <w:b/>
        </w:rPr>
        <w:br/>
      </w:r>
      <w:r w:rsidR="00BD3C7B" w:rsidRPr="00AB285A">
        <w:rPr>
          <w:rFonts w:eastAsia="Times New Roman" w:cstheme="minorHAnsi"/>
        </w:rPr>
        <w:t xml:space="preserve">I wanted to share the permissions agreements for the IR@UF. This is the same text that </w:t>
      </w:r>
      <w:r w:rsidR="00D162D4">
        <w:rPr>
          <w:rFonts w:eastAsia="Times New Roman" w:cstheme="minorHAnsi"/>
        </w:rPr>
        <w:t xml:space="preserve">author/creators agree </w:t>
      </w:r>
      <w:r w:rsidR="00D162D4" w:rsidRPr="00903C0E">
        <w:rPr>
          <w:rFonts w:eastAsia="Times New Roman" w:cstheme="minorHAnsi"/>
        </w:rPr>
        <w:t>to in</w:t>
      </w:r>
      <w:r w:rsidR="00BD3C7B" w:rsidRPr="00903C0E">
        <w:rPr>
          <w:rFonts w:eastAsia="Times New Roman" w:cstheme="minorHAnsi"/>
        </w:rPr>
        <w:t xml:space="preserve"> paper form and online.</w:t>
      </w:r>
      <w:r w:rsidR="00006F66">
        <w:rPr>
          <w:rFonts w:eastAsia="Times New Roman" w:cstheme="minorHAnsi"/>
        </w:rPr>
        <w:t xml:space="preserve"> </w:t>
      </w:r>
      <w:r w:rsidR="00006F66" w:rsidRPr="009A7B5F">
        <w:rPr>
          <w:rFonts w:eastAsia="Times New Roman" w:cstheme="minorHAnsi"/>
          <w:i/>
        </w:rPr>
        <w:t>[</w:t>
      </w:r>
      <w:r w:rsidR="00F55454" w:rsidRPr="009A7B5F">
        <w:rPr>
          <w:rFonts w:eastAsia="Times New Roman" w:cstheme="minorHAnsi"/>
          <w:i/>
        </w:rPr>
        <w:t xml:space="preserve">Showing </w:t>
      </w:r>
      <w:r w:rsidR="00BD3C7B" w:rsidRPr="009A7B5F">
        <w:rPr>
          <w:rFonts w:eastAsia="Times New Roman" w:cstheme="minorHAnsi"/>
          <w:i/>
        </w:rPr>
        <w:t xml:space="preserve"> forms</w:t>
      </w:r>
      <w:r w:rsidR="009A7B5F">
        <w:rPr>
          <w:rFonts w:eastAsia="Times New Roman" w:cstheme="minorHAnsi"/>
          <w:i/>
        </w:rPr>
        <w:t xml:space="preserve">] </w:t>
      </w:r>
      <w:r>
        <w:rPr>
          <w:rFonts w:eastAsia="Times New Roman" w:cstheme="minorHAnsi"/>
          <w:b/>
        </w:rPr>
        <w:br/>
      </w:r>
      <w:r w:rsidR="00D162D4" w:rsidRPr="00903C0E">
        <w:rPr>
          <w:rFonts w:eastAsia="Times New Roman" w:cstheme="minorHAnsi"/>
        </w:rPr>
        <w:t>Please note that this is permissions-based. This supports concerns for author rights, and for the more inclusive concerns with moral and other rights.</w:t>
      </w:r>
      <w:r w:rsidR="00006F66">
        <w:rPr>
          <w:rFonts w:eastAsia="Times New Roman" w:cstheme="minorHAnsi"/>
        </w:rPr>
        <w:t xml:space="preserve"> </w:t>
      </w:r>
      <w:r w:rsidR="00006F66" w:rsidRPr="009A7B5F">
        <w:rPr>
          <w:rFonts w:eastAsia="Times New Roman" w:cstheme="minorHAnsi"/>
          <w:i/>
        </w:rPr>
        <w:t>[Showing the IR online]</w:t>
      </w:r>
    </w:p>
    <w:p w:rsidR="001700F0" w:rsidRPr="007F7789" w:rsidRDefault="00AB285A" w:rsidP="007F7789">
      <w:pPr>
        <w:rPr>
          <w:rFonts w:eastAsia="Times New Roman" w:cstheme="minorHAnsi"/>
          <w:b/>
        </w:rPr>
      </w:pPr>
      <w:r w:rsidRPr="00903C0E">
        <w:rPr>
          <w:rFonts w:eastAsia="Times New Roman" w:cstheme="minorHAnsi"/>
        </w:rPr>
        <w:t xml:space="preserve">Any of you can use the IR@UF. Faculty members are automatically able to submit thanks to PeopleSoft roles. To submit as graduate students, you’ll need to login </w:t>
      </w:r>
      <w:r w:rsidR="002C7E7B" w:rsidRPr="00903C0E">
        <w:rPr>
          <w:rFonts w:eastAsia="Times New Roman" w:cstheme="minorHAnsi"/>
        </w:rPr>
        <w:t xml:space="preserve">with Gatorlink and then send an email or to register for myUFDC and </w:t>
      </w:r>
      <w:r w:rsidRPr="00903C0E">
        <w:rPr>
          <w:rFonts w:eastAsia="Times New Roman" w:cstheme="minorHAnsi"/>
        </w:rPr>
        <w:t xml:space="preserve">check the </w:t>
      </w:r>
      <w:r w:rsidR="002C7E7B" w:rsidRPr="00903C0E">
        <w:rPr>
          <w:rFonts w:eastAsia="Times New Roman" w:cstheme="minorHAnsi"/>
        </w:rPr>
        <w:t>button to request the ability to submit</w:t>
      </w:r>
      <w:r w:rsidRPr="00903C0E">
        <w:rPr>
          <w:rFonts w:eastAsia="Times New Roman" w:cstheme="minorHAnsi"/>
        </w:rPr>
        <w:t xml:space="preserve">. </w:t>
      </w:r>
      <w:r w:rsidRPr="00006F66">
        <w:rPr>
          <w:rFonts w:eastAsia="Times New Roman" w:cstheme="minorHAnsi"/>
          <w:i/>
        </w:rPr>
        <w:t xml:space="preserve">  </w:t>
      </w:r>
    </w:p>
    <w:p w:rsidR="007E2BEB" w:rsidRPr="00006F66" w:rsidRDefault="00006F66" w:rsidP="00006F66">
      <w:pPr>
        <w:spacing w:after="0"/>
        <w:rPr>
          <w:rFonts w:eastAsia="Times New Roman" w:cstheme="minorHAnsi"/>
        </w:rPr>
      </w:pPr>
      <w:r w:rsidRPr="00006F66">
        <w:rPr>
          <w:rFonts w:eastAsia="Times New Roman" w:cstheme="minorHAnsi"/>
          <w:i/>
        </w:rPr>
        <w:t>[</w:t>
      </w:r>
      <w:r w:rsidR="00AB285A" w:rsidRPr="009A7B5F">
        <w:rPr>
          <w:rFonts w:eastAsia="Times New Roman" w:cstheme="minorHAnsi"/>
          <w:i/>
        </w:rPr>
        <w:t>Show</w:t>
      </w:r>
      <w:r w:rsidR="002C7E7B" w:rsidRPr="009A7B5F">
        <w:rPr>
          <w:rFonts w:eastAsia="Times New Roman" w:cstheme="minorHAnsi"/>
          <w:i/>
        </w:rPr>
        <w:t xml:space="preserve"> registration</w:t>
      </w:r>
      <w:r w:rsidR="001700F0" w:rsidRPr="009A7B5F">
        <w:rPr>
          <w:rFonts w:eastAsia="Times New Roman" w:cstheme="minorHAnsi"/>
          <w:i/>
        </w:rPr>
        <w:t xml:space="preserve">;  </w:t>
      </w:r>
      <w:r w:rsidRPr="009A7B5F">
        <w:rPr>
          <w:rFonts w:eastAsia="Times New Roman" w:cstheme="minorHAnsi"/>
          <w:i/>
        </w:rPr>
        <w:t>Gatorlink login;</w:t>
      </w:r>
      <w:r w:rsidRPr="00006F66">
        <w:rPr>
          <w:rFonts w:eastAsia="Times New Roman" w:cstheme="minorHAnsi"/>
          <w:i/>
        </w:rPr>
        <w:t xml:space="preserve"> </w:t>
      </w:r>
      <w:r w:rsidR="001700F0" w:rsidRPr="009A7B5F">
        <w:rPr>
          <w:rFonts w:eastAsia="Times New Roman" w:cstheme="minorHAnsi"/>
          <w:i/>
        </w:rPr>
        <w:t>C</w:t>
      </w:r>
      <w:r w:rsidR="00AD151A" w:rsidRPr="009A7B5F">
        <w:rPr>
          <w:rFonts w:eastAsia="Times New Roman" w:cstheme="minorHAnsi"/>
          <w:i/>
        </w:rPr>
        <w:t>ontact us</w:t>
      </w:r>
      <w:r w:rsidR="005C5DC3" w:rsidRPr="009A7B5F">
        <w:rPr>
          <w:rFonts w:eastAsia="Times New Roman" w:cstheme="minorHAnsi"/>
          <w:i/>
        </w:rPr>
        <w:t xml:space="preserve"> link</w:t>
      </w:r>
      <w:r w:rsidRPr="00006F66">
        <w:rPr>
          <w:rFonts w:eastAsia="Times New Roman" w:cstheme="minorHAnsi"/>
          <w:i/>
        </w:rPr>
        <w:t>]</w:t>
      </w:r>
      <w:r>
        <w:rPr>
          <w:rFonts w:eastAsia="Times New Roman" w:cstheme="minorHAnsi"/>
          <w:i/>
        </w:rPr>
        <w:br/>
      </w:r>
    </w:p>
    <w:p w:rsidR="00EE2CDA" w:rsidRPr="00006F66" w:rsidRDefault="00EE2CDA" w:rsidP="00006F66">
      <w:pPr>
        <w:spacing w:after="0"/>
        <w:rPr>
          <w:rFonts w:eastAsia="Times New Roman" w:cstheme="minorHAnsi"/>
          <w:b/>
        </w:rPr>
      </w:pPr>
      <w:r w:rsidRPr="00006F66">
        <w:rPr>
          <w:rFonts w:eastAsia="Times New Roman" w:cstheme="minorHAnsi"/>
          <w:b/>
        </w:rPr>
        <w:t>Examples of Other Scholarly Publication Types to Note</w:t>
      </w:r>
    </w:p>
    <w:p w:rsidR="00702E0A" w:rsidRPr="00702E0A" w:rsidRDefault="00702E0A" w:rsidP="00702E0A">
      <w:pPr>
        <w:numPr>
          <w:ilvl w:val="0"/>
          <w:numId w:val="11"/>
        </w:numPr>
        <w:spacing w:after="0"/>
        <w:contextualSpacing/>
        <w:rPr>
          <w:rFonts w:eastAsia="Times New Roman" w:cstheme="minorHAnsi"/>
        </w:rPr>
      </w:pPr>
      <w:r w:rsidRPr="00702E0A">
        <w:rPr>
          <w:rFonts w:eastAsia="Times New Roman" w:cstheme="minorHAnsi"/>
        </w:rPr>
        <w:t>Scholar-Curated Collections: International Farming Systems</w:t>
      </w:r>
      <w:r w:rsidRPr="00702E0A">
        <w:rPr>
          <w:rFonts w:eastAsia="Times New Roman" w:cstheme="minorHAnsi"/>
          <w:color w:val="0000FF" w:themeColor="hyperlink"/>
          <w:u w:val="single"/>
        </w:rPr>
        <w:t xml:space="preserve"> (http://ufdc.ufl.edu/ifsa)</w:t>
      </w:r>
    </w:p>
    <w:p w:rsidR="00702E0A" w:rsidRPr="00702E0A" w:rsidRDefault="00702E0A" w:rsidP="00702E0A">
      <w:pPr>
        <w:numPr>
          <w:ilvl w:val="0"/>
          <w:numId w:val="11"/>
        </w:numPr>
        <w:spacing w:after="0"/>
        <w:contextualSpacing/>
        <w:rPr>
          <w:rFonts w:eastAsia="Times New Roman" w:cstheme="minorHAnsi"/>
        </w:rPr>
      </w:pPr>
      <w:r w:rsidRPr="00702E0A">
        <w:rPr>
          <w:rFonts w:eastAsia="Times New Roman" w:cstheme="minorHAnsi"/>
        </w:rPr>
        <w:t>New types of publications: dLOC</w:t>
      </w:r>
      <w:r w:rsidRPr="00702E0A">
        <w:rPr>
          <w:rFonts w:eastAsia="Times New Roman" w:cstheme="minorHAnsi"/>
          <w:color w:val="0000FF" w:themeColor="hyperlink"/>
          <w:u w:val="single"/>
        </w:rPr>
        <w:t xml:space="preserve"> (http://dloc.com/)</w:t>
      </w:r>
      <w:r w:rsidRPr="00702E0A">
        <w:rPr>
          <w:rFonts w:eastAsia="Times New Roman" w:cstheme="minorHAnsi"/>
        </w:rPr>
        <w:t>; online exhibits</w:t>
      </w:r>
      <w:r w:rsidRPr="00702E0A">
        <w:rPr>
          <w:rFonts w:eastAsia="Times New Roman" w:cstheme="minorHAnsi"/>
          <w:color w:val="0000FF" w:themeColor="hyperlink"/>
          <w:u w:val="single"/>
        </w:rPr>
        <w:t xml:space="preserve"> (http://exhibits.uflib.ufl.edu/online.html)</w:t>
      </w:r>
    </w:p>
    <w:p w:rsidR="00E27E70" w:rsidRPr="00702E0A" w:rsidRDefault="00702E0A" w:rsidP="00702E0A">
      <w:pPr>
        <w:numPr>
          <w:ilvl w:val="0"/>
          <w:numId w:val="11"/>
        </w:numPr>
        <w:spacing w:after="0"/>
        <w:contextualSpacing/>
        <w:rPr>
          <w:rFonts w:eastAsia="Times New Roman" w:cstheme="minorHAnsi"/>
        </w:rPr>
      </w:pPr>
      <w:r w:rsidRPr="00702E0A">
        <w:rPr>
          <w:rFonts w:eastAsia="Times New Roman" w:cstheme="minorHAnsi"/>
        </w:rPr>
        <w:t>UFDC – digital humanities handout</w:t>
      </w:r>
      <w:r w:rsidRPr="00702E0A">
        <w:rPr>
          <w:rFonts w:eastAsia="Times New Roman" w:cstheme="minorHAnsi"/>
          <w:color w:val="0000FF" w:themeColor="hyperlink"/>
          <w:u w:val="single"/>
        </w:rPr>
        <w:t xml:space="preserve"> (http://ufdc.ufl.edu/AA00001589/00001)</w:t>
      </w:r>
      <w:bookmarkStart w:id="0" w:name="_GoBack"/>
      <w:bookmarkEnd w:id="0"/>
    </w:p>
    <w:sectPr w:rsidR="00E27E70" w:rsidRPr="00702E0A">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18C" w:rsidRDefault="008C318C" w:rsidP="00C7463A">
      <w:pPr>
        <w:spacing w:after="0" w:line="240" w:lineRule="auto"/>
      </w:pPr>
      <w:r>
        <w:separator/>
      </w:r>
    </w:p>
  </w:endnote>
  <w:endnote w:type="continuationSeparator" w:id="0">
    <w:p w:rsidR="008C318C" w:rsidRDefault="008C318C" w:rsidP="00C74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18C" w:rsidRDefault="008C318C" w:rsidP="00C7463A">
      <w:pPr>
        <w:spacing w:after="0" w:line="240" w:lineRule="auto"/>
      </w:pPr>
      <w:r>
        <w:separator/>
      </w:r>
    </w:p>
  </w:footnote>
  <w:footnote w:type="continuationSeparator" w:id="0">
    <w:p w:rsidR="008C318C" w:rsidRDefault="008C318C" w:rsidP="00C746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386835512"/>
      <w:docPartObj>
        <w:docPartGallery w:val="Page Numbers (Top of Page)"/>
        <w:docPartUnique/>
      </w:docPartObj>
    </w:sdtPr>
    <w:sdtEndPr>
      <w:rPr>
        <w:b/>
        <w:bCs/>
        <w:noProof/>
        <w:color w:val="auto"/>
        <w:spacing w:val="0"/>
      </w:rPr>
    </w:sdtEndPr>
    <w:sdtContent>
      <w:p w:rsidR="00C7463A" w:rsidRDefault="00C7463A">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702E0A" w:rsidRPr="00702E0A">
          <w:rPr>
            <w:b/>
            <w:bCs/>
            <w:noProof/>
          </w:rPr>
          <w:t>5</w:t>
        </w:r>
        <w:r>
          <w:rPr>
            <w:b/>
            <w:bCs/>
            <w:noProof/>
          </w:rPr>
          <w:fldChar w:fldCharType="end"/>
        </w:r>
      </w:p>
    </w:sdtContent>
  </w:sdt>
  <w:p w:rsidR="00C7463A" w:rsidRDefault="00C746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18F9"/>
    <w:multiLevelType w:val="hybridMultilevel"/>
    <w:tmpl w:val="55FC0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C5629"/>
    <w:multiLevelType w:val="hybridMultilevel"/>
    <w:tmpl w:val="74288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21F55"/>
    <w:multiLevelType w:val="hybridMultilevel"/>
    <w:tmpl w:val="8D72B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FD7160"/>
    <w:multiLevelType w:val="hybridMultilevel"/>
    <w:tmpl w:val="935A46B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C81B97"/>
    <w:multiLevelType w:val="hybridMultilevel"/>
    <w:tmpl w:val="3488B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624D5A"/>
    <w:multiLevelType w:val="hybridMultilevel"/>
    <w:tmpl w:val="75F0E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557405"/>
    <w:multiLevelType w:val="hybridMultilevel"/>
    <w:tmpl w:val="512ED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D03F53"/>
    <w:multiLevelType w:val="hybridMultilevel"/>
    <w:tmpl w:val="336E5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93057C"/>
    <w:multiLevelType w:val="hybridMultilevel"/>
    <w:tmpl w:val="0C44D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2F1EA6"/>
    <w:multiLevelType w:val="hybridMultilevel"/>
    <w:tmpl w:val="28B87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550B94"/>
    <w:multiLevelType w:val="hybridMultilevel"/>
    <w:tmpl w:val="C85C1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B939CE"/>
    <w:multiLevelType w:val="hybridMultilevel"/>
    <w:tmpl w:val="92CC0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0"/>
  </w:num>
  <w:num w:numId="4">
    <w:abstractNumId w:val="10"/>
  </w:num>
  <w:num w:numId="5">
    <w:abstractNumId w:val="3"/>
  </w:num>
  <w:num w:numId="6">
    <w:abstractNumId w:val="6"/>
  </w:num>
  <w:num w:numId="7">
    <w:abstractNumId w:val="2"/>
  </w:num>
  <w:num w:numId="8">
    <w:abstractNumId w:val="5"/>
  </w:num>
  <w:num w:numId="9">
    <w:abstractNumId w:val="7"/>
  </w:num>
  <w:num w:numId="10">
    <w:abstractNumId w:val="9"/>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CF3"/>
    <w:rsid w:val="00001426"/>
    <w:rsid w:val="00006F66"/>
    <w:rsid w:val="0001017D"/>
    <w:rsid w:val="00026F34"/>
    <w:rsid w:val="00041532"/>
    <w:rsid w:val="00041CF3"/>
    <w:rsid w:val="00082C83"/>
    <w:rsid w:val="00085D2B"/>
    <w:rsid w:val="000E4247"/>
    <w:rsid w:val="00140333"/>
    <w:rsid w:val="00160C7A"/>
    <w:rsid w:val="00161107"/>
    <w:rsid w:val="001637FD"/>
    <w:rsid w:val="001700F0"/>
    <w:rsid w:val="00185CF3"/>
    <w:rsid w:val="00187006"/>
    <w:rsid w:val="00195B11"/>
    <w:rsid w:val="001A522D"/>
    <w:rsid w:val="001C1208"/>
    <w:rsid w:val="001C2A00"/>
    <w:rsid w:val="001E5188"/>
    <w:rsid w:val="00202401"/>
    <w:rsid w:val="00202A96"/>
    <w:rsid w:val="00204958"/>
    <w:rsid w:val="00243D20"/>
    <w:rsid w:val="00262577"/>
    <w:rsid w:val="00282905"/>
    <w:rsid w:val="002876D7"/>
    <w:rsid w:val="002A3A04"/>
    <w:rsid w:val="002C2801"/>
    <w:rsid w:val="002C7E7B"/>
    <w:rsid w:val="002D4A83"/>
    <w:rsid w:val="002F304F"/>
    <w:rsid w:val="002F35FF"/>
    <w:rsid w:val="00344F21"/>
    <w:rsid w:val="00354374"/>
    <w:rsid w:val="00355B18"/>
    <w:rsid w:val="00356F5C"/>
    <w:rsid w:val="003B6F9D"/>
    <w:rsid w:val="003D69AC"/>
    <w:rsid w:val="00401EE7"/>
    <w:rsid w:val="00464AA4"/>
    <w:rsid w:val="004B24B8"/>
    <w:rsid w:val="00545713"/>
    <w:rsid w:val="00581320"/>
    <w:rsid w:val="005931DA"/>
    <w:rsid w:val="005C46C7"/>
    <w:rsid w:val="005C4970"/>
    <w:rsid w:val="005C5DC3"/>
    <w:rsid w:val="00600332"/>
    <w:rsid w:val="00617F81"/>
    <w:rsid w:val="00644F83"/>
    <w:rsid w:val="006901DD"/>
    <w:rsid w:val="006973F2"/>
    <w:rsid w:val="006B7B2A"/>
    <w:rsid w:val="00702E0A"/>
    <w:rsid w:val="0071046A"/>
    <w:rsid w:val="00787B08"/>
    <w:rsid w:val="00790FD1"/>
    <w:rsid w:val="0079515E"/>
    <w:rsid w:val="00795F05"/>
    <w:rsid w:val="007B561A"/>
    <w:rsid w:val="007E2BEB"/>
    <w:rsid w:val="007E2C1F"/>
    <w:rsid w:val="007E2E48"/>
    <w:rsid w:val="007F7789"/>
    <w:rsid w:val="00817408"/>
    <w:rsid w:val="00822DC5"/>
    <w:rsid w:val="008362A3"/>
    <w:rsid w:val="008615E3"/>
    <w:rsid w:val="00890878"/>
    <w:rsid w:val="008A2629"/>
    <w:rsid w:val="008C318C"/>
    <w:rsid w:val="008D07CF"/>
    <w:rsid w:val="008F11FA"/>
    <w:rsid w:val="008F2E34"/>
    <w:rsid w:val="00903C0E"/>
    <w:rsid w:val="0090647C"/>
    <w:rsid w:val="00923212"/>
    <w:rsid w:val="00933846"/>
    <w:rsid w:val="009718CD"/>
    <w:rsid w:val="00996E70"/>
    <w:rsid w:val="009A7B5F"/>
    <w:rsid w:val="009C0B2C"/>
    <w:rsid w:val="009D21DD"/>
    <w:rsid w:val="009F37AF"/>
    <w:rsid w:val="009F5FD8"/>
    <w:rsid w:val="00A7258B"/>
    <w:rsid w:val="00AB285A"/>
    <w:rsid w:val="00AD151A"/>
    <w:rsid w:val="00AE4016"/>
    <w:rsid w:val="00B050FF"/>
    <w:rsid w:val="00B427B2"/>
    <w:rsid w:val="00B57AAE"/>
    <w:rsid w:val="00B6000E"/>
    <w:rsid w:val="00B73BEF"/>
    <w:rsid w:val="00B761E1"/>
    <w:rsid w:val="00BD3C7B"/>
    <w:rsid w:val="00C227EE"/>
    <w:rsid w:val="00C45950"/>
    <w:rsid w:val="00C701C4"/>
    <w:rsid w:val="00C7463A"/>
    <w:rsid w:val="00CB37AA"/>
    <w:rsid w:val="00CD4C03"/>
    <w:rsid w:val="00CE1D8F"/>
    <w:rsid w:val="00D162D4"/>
    <w:rsid w:val="00D421FD"/>
    <w:rsid w:val="00D437AD"/>
    <w:rsid w:val="00D723EE"/>
    <w:rsid w:val="00D75155"/>
    <w:rsid w:val="00DD109D"/>
    <w:rsid w:val="00DD13B5"/>
    <w:rsid w:val="00DD2940"/>
    <w:rsid w:val="00E069EF"/>
    <w:rsid w:val="00E15880"/>
    <w:rsid w:val="00E27E70"/>
    <w:rsid w:val="00E35F57"/>
    <w:rsid w:val="00E435EA"/>
    <w:rsid w:val="00E623FC"/>
    <w:rsid w:val="00EB6ED2"/>
    <w:rsid w:val="00EE2CDA"/>
    <w:rsid w:val="00F22301"/>
    <w:rsid w:val="00F26B0C"/>
    <w:rsid w:val="00F45672"/>
    <w:rsid w:val="00F55454"/>
    <w:rsid w:val="00F90F6A"/>
    <w:rsid w:val="00FC061C"/>
    <w:rsid w:val="00FC53F5"/>
    <w:rsid w:val="00FE5E8F"/>
    <w:rsid w:val="00FF5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CF3"/>
    <w:rPr>
      <w:color w:val="0000FF" w:themeColor="hyperlink"/>
      <w:u w:val="single"/>
    </w:rPr>
  </w:style>
  <w:style w:type="paragraph" w:styleId="ListParagraph">
    <w:name w:val="List Paragraph"/>
    <w:basedOn w:val="Normal"/>
    <w:uiPriority w:val="34"/>
    <w:qFormat/>
    <w:rsid w:val="00FC53F5"/>
    <w:pPr>
      <w:ind w:left="720"/>
      <w:contextualSpacing/>
    </w:pPr>
  </w:style>
  <w:style w:type="character" w:styleId="Emphasis">
    <w:name w:val="Emphasis"/>
    <w:basedOn w:val="DefaultParagraphFont"/>
    <w:uiPriority w:val="20"/>
    <w:qFormat/>
    <w:rsid w:val="008362A3"/>
    <w:rPr>
      <w:i/>
      <w:iCs/>
    </w:rPr>
  </w:style>
  <w:style w:type="paragraph" w:styleId="BalloonText">
    <w:name w:val="Balloon Text"/>
    <w:basedOn w:val="Normal"/>
    <w:link w:val="BalloonTextChar"/>
    <w:uiPriority w:val="99"/>
    <w:semiHidden/>
    <w:unhideWhenUsed/>
    <w:rsid w:val="00E62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3FC"/>
    <w:rPr>
      <w:rFonts w:ascii="Tahoma" w:hAnsi="Tahoma" w:cs="Tahoma"/>
      <w:sz w:val="16"/>
      <w:szCs w:val="16"/>
    </w:rPr>
  </w:style>
  <w:style w:type="paragraph" w:styleId="Header">
    <w:name w:val="header"/>
    <w:basedOn w:val="Normal"/>
    <w:link w:val="HeaderChar"/>
    <w:uiPriority w:val="99"/>
    <w:unhideWhenUsed/>
    <w:rsid w:val="00C746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63A"/>
  </w:style>
  <w:style w:type="paragraph" w:styleId="Footer">
    <w:name w:val="footer"/>
    <w:basedOn w:val="Normal"/>
    <w:link w:val="FooterChar"/>
    <w:uiPriority w:val="99"/>
    <w:unhideWhenUsed/>
    <w:rsid w:val="00C74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63A"/>
  </w:style>
  <w:style w:type="table" w:styleId="TableGrid">
    <w:name w:val="Table Grid"/>
    <w:basedOn w:val="TableNormal"/>
    <w:uiPriority w:val="59"/>
    <w:rsid w:val="007F7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CF3"/>
    <w:rPr>
      <w:color w:val="0000FF" w:themeColor="hyperlink"/>
      <w:u w:val="single"/>
    </w:rPr>
  </w:style>
  <w:style w:type="paragraph" w:styleId="ListParagraph">
    <w:name w:val="List Paragraph"/>
    <w:basedOn w:val="Normal"/>
    <w:uiPriority w:val="34"/>
    <w:qFormat/>
    <w:rsid w:val="00FC53F5"/>
    <w:pPr>
      <w:ind w:left="720"/>
      <w:contextualSpacing/>
    </w:pPr>
  </w:style>
  <w:style w:type="character" w:styleId="Emphasis">
    <w:name w:val="Emphasis"/>
    <w:basedOn w:val="DefaultParagraphFont"/>
    <w:uiPriority w:val="20"/>
    <w:qFormat/>
    <w:rsid w:val="008362A3"/>
    <w:rPr>
      <w:i/>
      <w:iCs/>
    </w:rPr>
  </w:style>
  <w:style w:type="paragraph" w:styleId="BalloonText">
    <w:name w:val="Balloon Text"/>
    <w:basedOn w:val="Normal"/>
    <w:link w:val="BalloonTextChar"/>
    <w:uiPriority w:val="99"/>
    <w:semiHidden/>
    <w:unhideWhenUsed/>
    <w:rsid w:val="00E62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3FC"/>
    <w:rPr>
      <w:rFonts w:ascii="Tahoma" w:hAnsi="Tahoma" w:cs="Tahoma"/>
      <w:sz w:val="16"/>
      <w:szCs w:val="16"/>
    </w:rPr>
  </w:style>
  <w:style w:type="paragraph" w:styleId="Header">
    <w:name w:val="header"/>
    <w:basedOn w:val="Normal"/>
    <w:link w:val="HeaderChar"/>
    <w:uiPriority w:val="99"/>
    <w:unhideWhenUsed/>
    <w:rsid w:val="00C746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63A"/>
  </w:style>
  <w:style w:type="paragraph" w:styleId="Footer">
    <w:name w:val="footer"/>
    <w:basedOn w:val="Normal"/>
    <w:link w:val="FooterChar"/>
    <w:uiPriority w:val="99"/>
    <w:unhideWhenUsed/>
    <w:rsid w:val="00C74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63A"/>
  </w:style>
  <w:style w:type="table" w:styleId="TableGrid">
    <w:name w:val="Table Grid"/>
    <w:basedOn w:val="TableNormal"/>
    <w:uiPriority w:val="59"/>
    <w:rsid w:val="007F7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736371">
      <w:bodyDiv w:val="1"/>
      <w:marLeft w:val="0"/>
      <w:marRight w:val="0"/>
      <w:marTop w:val="0"/>
      <w:marBottom w:val="0"/>
      <w:divBdr>
        <w:top w:val="none" w:sz="0" w:space="0" w:color="auto"/>
        <w:left w:val="none" w:sz="0" w:space="0" w:color="auto"/>
        <w:bottom w:val="none" w:sz="0" w:space="0" w:color="auto"/>
        <w:right w:val="none" w:sz="0" w:space="0" w:color="auto"/>
      </w:divBdr>
    </w:div>
    <w:div w:id="437064453">
      <w:bodyDiv w:val="1"/>
      <w:marLeft w:val="0"/>
      <w:marRight w:val="0"/>
      <w:marTop w:val="0"/>
      <w:marBottom w:val="0"/>
      <w:divBdr>
        <w:top w:val="none" w:sz="0" w:space="0" w:color="auto"/>
        <w:left w:val="none" w:sz="0" w:space="0" w:color="auto"/>
        <w:bottom w:val="none" w:sz="0" w:space="0" w:color="auto"/>
        <w:right w:val="none" w:sz="0" w:space="0" w:color="auto"/>
      </w:divBdr>
    </w:div>
    <w:div w:id="498620829">
      <w:bodyDiv w:val="1"/>
      <w:marLeft w:val="0"/>
      <w:marRight w:val="0"/>
      <w:marTop w:val="0"/>
      <w:marBottom w:val="0"/>
      <w:divBdr>
        <w:top w:val="none" w:sz="0" w:space="0" w:color="auto"/>
        <w:left w:val="none" w:sz="0" w:space="0" w:color="auto"/>
        <w:bottom w:val="none" w:sz="0" w:space="0" w:color="auto"/>
        <w:right w:val="none" w:sz="0" w:space="0" w:color="auto"/>
      </w:divBdr>
    </w:div>
    <w:div w:id="603415360">
      <w:bodyDiv w:val="1"/>
      <w:marLeft w:val="0"/>
      <w:marRight w:val="0"/>
      <w:marTop w:val="0"/>
      <w:marBottom w:val="0"/>
      <w:divBdr>
        <w:top w:val="none" w:sz="0" w:space="0" w:color="auto"/>
        <w:left w:val="none" w:sz="0" w:space="0" w:color="auto"/>
        <w:bottom w:val="none" w:sz="0" w:space="0" w:color="auto"/>
        <w:right w:val="none" w:sz="0" w:space="0" w:color="auto"/>
      </w:divBdr>
    </w:div>
    <w:div w:id="727194051">
      <w:bodyDiv w:val="1"/>
      <w:marLeft w:val="0"/>
      <w:marRight w:val="0"/>
      <w:marTop w:val="0"/>
      <w:marBottom w:val="0"/>
      <w:divBdr>
        <w:top w:val="none" w:sz="0" w:space="0" w:color="auto"/>
        <w:left w:val="none" w:sz="0" w:space="0" w:color="auto"/>
        <w:bottom w:val="none" w:sz="0" w:space="0" w:color="auto"/>
        <w:right w:val="none" w:sz="0" w:space="0" w:color="auto"/>
      </w:divBdr>
    </w:div>
    <w:div w:id="1323780912">
      <w:bodyDiv w:val="1"/>
      <w:marLeft w:val="0"/>
      <w:marRight w:val="0"/>
      <w:marTop w:val="0"/>
      <w:marBottom w:val="0"/>
      <w:divBdr>
        <w:top w:val="none" w:sz="0" w:space="0" w:color="auto"/>
        <w:left w:val="none" w:sz="0" w:space="0" w:color="auto"/>
        <w:bottom w:val="none" w:sz="0" w:space="0" w:color="auto"/>
        <w:right w:val="none" w:sz="0" w:space="0" w:color="auto"/>
      </w:divBdr>
    </w:div>
    <w:div w:id="196407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ides.uflib.ufl.edu/content.php?pid=6493&amp;sid=1480100" TargetMode="External"/><Relationship Id="rId13" Type="http://schemas.openxmlformats.org/officeDocument/2006/relationships/hyperlink" Target="http://guides.uflib.ufl.edu/content.php?pid=230212&amp;sid=1940482"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oaj.org/" TargetMode="External"/><Relationship Id="rId17" Type="http://schemas.openxmlformats.org/officeDocument/2006/relationships/hyperlink" Target="http://www.uflib.ufl.edu/spec/africana/introduction.htm" TargetMode="External"/><Relationship Id="rId2" Type="http://schemas.openxmlformats.org/officeDocument/2006/relationships/styles" Target="styles.xml"/><Relationship Id="rId16" Type="http://schemas.openxmlformats.org/officeDocument/2006/relationships/hyperlink" Target="http://www.doaj.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fdc.ufl.edu/ufirg" TargetMode="External"/><Relationship Id="rId5" Type="http://schemas.openxmlformats.org/officeDocument/2006/relationships/webSettings" Target="webSettings.xml"/><Relationship Id="rId15" Type="http://schemas.openxmlformats.org/officeDocument/2006/relationships/hyperlink" Target="http://www.pubmedcentral.nih.gov/" TargetMode="External"/><Relationship Id="rId10" Type="http://schemas.openxmlformats.org/officeDocument/2006/relationships/hyperlink" Target="http://ufdc.ufl.edu/AA0000414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guides.uflib.ufl.edu/content.php?pid=6493&amp;sid=14801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1755</Words>
  <Characters>10009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UF</Company>
  <LinksUpToDate>false</LinksUpToDate>
  <CharactersWithSpaces>11741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Taylor,Laurie Nancy Francesca</dc:creator>
  <cp:lastModifiedBy>Windows User</cp:lastModifiedBy>
  <cp:revision>3</cp:revision>
  <cp:lastPrinted>2011-09-23T19:24:00Z</cp:lastPrinted>
  <dcterms:created xsi:type="dcterms:W3CDTF">2012-10-10T11:42:00Z</dcterms:created>
  <dcterms:modified xsi:type="dcterms:W3CDTF">2012-10-10T11:52:00Z</dcterms:modified>
</cp:coreProperties>
</file>