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6C" w:rsidRDefault="00931C6C" w:rsidP="00A96E5F">
      <w:pPr>
        <w:spacing w:line="480" w:lineRule="auto"/>
        <w:jc w:val="center"/>
        <w:rPr>
          <w:rFonts w:ascii="Times New Roman" w:hAnsi="Times New Roman"/>
          <w:b/>
        </w:rPr>
      </w:pPr>
      <w:r>
        <w:rPr>
          <w:rFonts w:ascii="Times New Roman" w:hAnsi="Times New Roman"/>
          <w:b/>
        </w:rPr>
        <w:t>ACURIL 2011</w:t>
      </w:r>
      <w:r>
        <w:rPr>
          <w:rFonts w:ascii="Times New Roman" w:hAnsi="Times New Roman"/>
          <w:b/>
        </w:rPr>
        <w:t>, DRAFT</w:t>
      </w:r>
      <w:r>
        <w:rPr>
          <w:rFonts w:ascii="Times New Roman" w:hAnsi="Times New Roman"/>
          <w:b/>
        </w:rPr>
        <w:t xml:space="preserve"> PRESENTATION</w:t>
      </w:r>
      <w:r>
        <w:rPr>
          <w:rFonts w:ascii="Times New Roman" w:hAnsi="Times New Roman"/>
          <w:b/>
        </w:rPr>
        <w:t xml:space="preserve"> NOTES/PAPER </w:t>
      </w:r>
    </w:p>
    <w:p w:rsidR="00931C6C" w:rsidRDefault="00931C6C" w:rsidP="00A96E5F">
      <w:pPr>
        <w:spacing w:line="480" w:lineRule="auto"/>
        <w:jc w:val="center"/>
        <w:rPr>
          <w:rFonts w:ascii="Times New Roman" w:hAnsi="Times New Roman"/>
          <w:b/>
        </w:rPr>
      </w:pPr>
    </w:p>
    <w:p w:rsidR="005F3D30" w:rsidRPr="00A96E5F" w:rsidRDefault="00A96E5F" w:rsidP="00A96E5F">
      <w:pPr>
        <w:spacing w:line="480" w:lineRule="auto"/>
        <w:jc w:val="center"/>
        <w:rPr>
          <w:rFonts w:ascii="Times New Roman" w:hAnsi="Times New Roman"/>
          <w:b/>
        </w:rPr>
      </w:pPr>
      <w:r w:rsidRPr="00A96E5F">
        <w:rPr>
          <w:rFonts w:ascii="Times New Roman" w:hAnsi="Times New Roman"/>
          <w:b/>
        </w:rPr>
        <w:t>“</w:t>
      </w:r>
      <w:r w:rsidR="00C71CB1">
        <w:rPr>
          <w:rFonts w:ascii="Times New Roman" w:hAnsi="Times New Roman"/>
          <w:b/>
        </w:rPr>
        <w:t>The Digital Library of the Caribbean (dLOC) and t</w:t>
      </w:r>
      <w:r w:rsidR="00C71CB1" w:rsidRPr="00C71CB1">
        <w:rPr>
          <w:rFonts w:ascii="Times New Roman" w:hAnsi="Times New Roman"/>
          <w:b/>
        </w:rPr>
        <w:t>he Role of Digital Libraries in Disas</w:t>
      </w:r>
      <w:r w:rsidR="00C71CB1">
        <w:rPr>
          <w:rFonts w:ascii="Times New Roman" w:hAnsi="Times New Roman"/>
          <w:b/>
        </w:rPr>
        <w:t>ter Preparedness and Mitigation</w:t>
      </w:r>
      <w:r w:rsidRPr="00A96E5F">
        <w:rPr>
          <w:rFonts w:ascii="Times New Roman" w:hAnsi="Times New Roman"/>
          <w:b/>
        </w:rPr>
        <w:t>”</w:t>
      </w:r>
    </w:p>
    <w:p w:rsidR="00E46A97" w:rsidRPr="001D6905" w:rsidRDefault="00A96E5F" w:rsidP="00A96E5F">
      <w:pPr>
        <w:spacing w:line="480" w:lineRule="auto"/>
        <w:jc w:val="center"/>
        <w:rPr>
          <w:rFonts w:ascii="Times New Roman" w:hAnsi="Times New Roman"/>
        </w:rPr>
      </w:pPr>
      <w:r>
        <w:rPr>
          <w:rFonts w:ascii="Times New Roman" w:hAnsi="Times New Roman"/>
        </w:rPr>
        <w:t xml:space="preserve">By:  </w:t>
      </w:r>
      <w:r w:rsidR="00E46A97" w:rsidRPr="001D6905">
        <w:rPr>
          <w:rFonts w:ascii="Times New Roman" w:hAnsi="Times New Roman"/>
        </w:rPr>
        <w:t xml:space="preserve">Laurie </w:t>
      </w:r>
      <w:r w:rsidR="00C71CB1">
        <w:rPr>
          <w:rFonts w:ascii="Times New Roman" w:hAnsi="Times New Roman"/>
        </w:rPr>
        <w:t xml:space="preserve">N. </w:t>
      </w:r>
      <w:r w:rsidR="00E46A97" w:rsidRPr="001D6905">
        <w:rPr>
          <w:rFonts w:ascii="Times New Roman" w:hAnsi="Times New Roman"/>
        </w:rPr>
        <w:t>Taylor</w:t>
      </w:r>
      <w:r>
        <w:rPr>
          <w:rFonts w:ascii="Times New Roman" w:hAnsi="Times New Roman"/>
        </w:rPr>
        <w:t xml:space="preserve"> and </w:t>
      </w:r>
      <w:r w:rsidR="00E46A97" w:rsidRPr="001D6905">
        <w:rPr>
          <w:rFonts w:ascii="Times New Roman" w:hAnsi="Times New Roman"/>
        </w:rPr>
        <w:t>Brooke Wooldridge</w:t>
      </w:r>
    </w:p>
    <w:p w:rsidR="005412DE" w:rsidRPr="001D6905" w:rsidRDefault="005412DE" w:rsidP="00A96E5F">
      <w:pPr>
        <w:spacing w:line="480" w:lineRule="auto"/>
        <w:rPr>
          <w:rFonts w:ascii="Times New Roman" w:hAnsi="Times New Roman"/>
        </w:rPr>
      </w:pPr>
    </w:p>
    <w:p w:rsidR="00A96E5F" w:rsidRPr="00A96E5F" w:rsidRDefault="005412DE" w:rsidP="00A96E5F">
      <w:pPr>
        <w:spacing w:line="480" w:lineRule="auto"/>
        <w:rPr>
          <w:rFonts w:ascii="Times New Roman" w:hAnsi="Times New Roman"/>
          <w:b/>
        </w:rPr>
      </w:pPr>
      <w:r w:rsidRPr="001D6905">
        <w:rPr>
          <w:rFonts w:ascii="Times New Roman" w:hAnsi="Times New Roman"/>
          <w:b/>
        </w:rPr>
        <w:t>Introduction</w:t>
      </w:r>
    </w:p>
    <w:p w:rsidR="00AF6A8F" w:rsidRPr="001D6905" w:rsidRDefault="005412DE" w:rsidP="00A96E5F">
      <w:pPr>
        <w:spacing w:line="480" w:lineRule="auto"/>
        <w:ind w:firstLine="360"/>
        <w:rPr>
          <w:rFonts w:ascii="Times New Roman" w:hAnsi="Times New Roman"/>
        </w:rPr>
      </w:pPr>
      <w:r w:rsidRPr="001D6905">
        <w:rPr>
          <w:rFonts w:ascii="Times New Roman" w:hAnsi="Times New Roman"/>
        </w:rPr>
        <w:t>The role of digital libraries in disaster preparedness and mitigation is multifaceted. In</w:t>
      </w:r>
      <w:r w:rsidR="00E46A97" w:rsidRPr="001D6905">
        <w:rPr>
          <w:rFonts w:ascii="Times New Roman" w:hAnsi="Times New Roman"/>
        </w:rPr>
        <w:t xml:space="preserve"> order to properly address the topic</w:t>
      </w:r>
      <w:r w:rsidR="00FC00FA" w:rsidRPr="001D6905">
        <w:rPr>
          <w:rFonts w:ascii="Times New Roman" w:hAnsi="Times New Roman"/>
        </w:rPr>
        <w:t>, we are using</w:t>
      </w:r>
      <w:r w:rsidR="00E46A97" w:rsidRPr="001D6905">
        <w:rPr>
          <w:rFonts w:ascii="Times New Roman" w:hAnsi="Times New Roman"/>
        </w:rPr>
        <w:t xml:space="preserve"> the term</w:t>
      </w:r>
      <w:r w:rsidRPr="001D6905">
        <w:rPr>
          <w:rFonts w:ascii="Times New Roman" w:hAnsi="Times New Roman"/>
        </w:rPr>
        <w:t xml:space="preserve"> </w:t>
      </w:r>
      <w:r w:rsidR="00E46A97" w:rsidRPr="001D6905">
        <w:rPr>
          <w:rFonts w:ascii="Times New Roman" w:hAnsi="Times New Roman"/>
        </w:rPr>
        <w:t>“</w:t>
      </w:r>
      <w:r w:rsidRPr="001D6905">
        <w:rPr>
          <w:rFonts w:ascii="Times New Roman" w:hAnsi="Times New Roman"/>
        </w:rPr>
        <w:t>digital library</w:t>
      </w:r>
      <w:r w:rsidR="00E46A97" w:rsidRPr="001D6905">
        <w:rPr>
          <w:rFonts w:ascii="Times New Roman" w:hAnsi="Times New Roman"/>
        </w:rPr>
        <w:t xml:space="preserve">” inclusively as the term to refer the </w:t>
      </w:r>
      <w:r w:rsidRPr="001D6905">
        <w:rPr>
          <w:rFonts w:ascii="Times New Roman" w:hAnsi="Times New Roman"/>
        </w:rPr>
        <w:t xml:space="preserve">structures that support digital access and preservation: digital archives, digital repositories, and related technologies and tools for digital preservation. Preservation is similarly defined in an inclusive manner, with a consideration of the </w:t>
      </w:r>
      <w:r w:rsidR="003F14E9" w:rsidRPr="001D6905">
        <w:rPr>
          <w:rFonts w:ascii="Times New Roman" w:hAnsi="Times New Roman"/>
        </w:rPr>
        <w:t xml:space="preserve">overall </w:t>
      </w:r>
      <w:r w:rsidRPr="001D6905">
        <w:rPr>
          <w:rFonts w:ascii="Times New Roman" w:hAnsi="Times New Roman"/>
        </w:rPr>
        <w:t>digital supports for preservation</w:t>
      </w:r>
      <w:r w:rsidR="003F14E9" w:rsidRPr="001D6905">
        <w:rPr>
          <w:rFonts w:ascii="Times New Roman" w:hAnsi="Times New Roman"/>
        </w:rPr>
        <w:t xml:space="preserve"> and with preservation understood</w:t>
      </w:r>
      <w:r w:rsidRPr="001D6905">
        <w:rPr>
          <w:rFonts w:ascii="Times New Roman" w:hAnsi="Times New Roman"/>
        </w:rPr>
        <w:t xml:space="preserve"> as the </w:t>
      </w:r>
      <w:proofErr w:type="gramStart"/>
      <w:r w:rsidRPr="001D6905">
        <w:rPr>
          <w:rFonts w:ascii="Times New Roman" w:hAnsi="Times New Roman"/>
        </w:rPr>
        <w:t>assurance</w:t>
      </w:r>
      <w:proofErr w:type="gramEnd"/>
      <w:r w:rsidRPr="001D6905">
        <w:rPr>
          <w:rFonts w:ascii="Times New Roman" w:hAnsi="Times New Roman"/>
        </w:rPr>
        <w:t xml:space="preserve"> that materials will continue to exist in something close to its original form. With this broad view of the technologies supporting preservation</w:t>
      </w:r>
      <w:r w:rsidR="00FC00FA" w:rsidRPr="001D6905">
        <w:rPr>
          <w:rFonts w:ascii="Times New Roman" w:hAnsi="Times New Roman"/>
        </w:rPr>
        <w:t xml:space="preserve"> and preservation itself</w:t>
      </w:r>
      <w:r w:rsidRPr="001D6905">
        <w:rPr>
          <w:rFonts w:ascii="Times New Roman" w:hAnsi="Times New Roman"/>
        </w:rPr>
        <w:t xml:space="preserve">, </w:t>
      </w:r>
      <w:r w:rsidR="00AB3873" w:rsidRPr="001D6905">
        <w:rPr>
          <w:rFonts w:ascii="Times New Roman" w:hAnsi="Times New Roman"/>
        </w:rPr>
        <w:t>we approach</w:t>
      </w:r>
      <w:r w:rsidRPr="001D6905">
        <w:rPr>
          <w:rFonts w:ascii="Times New Roman" w:hAnsi="Times New Roman"/>
        </w:rPr>
        <w:t xml:space="preserve"> preservation from a long-term perspective </w:t>
      </w:r>
      <w:r w:rsidR="00EA75F8" w:rsidRPr="001D6905">
        <w:rPr>
          <w:rFonts w:ascii="Times New Roman" w:hAnsi="Times New Roman"/>
        </w:rPr>
        <w:t xml:space="preserve">where preservation is a process </w:t>
      </w:r>
      <w:r w:rsidRPr="001D6905">
        <w:rPr>
          <w:rFonts w:ascii="Times New Roman" w:hAnsi="Times New Roman"/>
        </w:rPr>
        <w:t xml:space="preserve">within the ongoing lifecycle of information and artifacts, and not as an endpoint. </w:t>
      </w:r>
      <w:r w:rsidR="0062295B" w:rsidRPr="001D6905">
        <w:rPr>
          <w:rFonts w:ascii="Times New Roman" w:hAnsi="Times New Roman"/>
        </w:rPr>
        <w:t xml:space="preserve">In order to address the role of digital libraries in disaster preparedness and mitigation, we also want to emphasize that the role is both technical and social or communal. Digital libraries, like their non-digital counterparts, utilize technology for specific purposes. The </w:t>
      </w:r>
      <w:r w:rsidR="001A0F54">
        <w:rPr>
          <w:rFonts w:ascii="Times New Roman" w:hAnsi="Times New Roman"/>
        </w:rPr>
        <w:t xml:space="preserve">underlying library </w:t>
      </w:r>
      <w:r w:rsidR="0062295B" w:rsidRPr="001D6905">
        <w:rPr>
          <w:rFonts w:ascii="Times New Roman" w:hAnsi="Times New Roman"/>
        </w:rPr>
        <w:t>purpose</w:t>
      </w:r>
      <w:r w:rsidR="001A0F54">
        <w:rPr>
          <w:rFonts w:ascii="Times New Roman" w:hAnsi="Times New Roman"/>
        </w:rPr>
        <w:t>s</w:t>
      </w:r>
      <w:r w:rsidR="0062295B" w:rsidRPr="001D6905">
        <w:rPr>
          <w:rFonts w:ascii="Times New Roman" w:hAnsi="Times New Roman"/>
        </w:rPr>
        <w:t xml:space="preserve"> for </w:t>
      </w:r>
      <w:r w:rsidR="001A0F54">
        <w:rPr>
          <w:rFonts w:ascii="Times New Roman" w:hAnsi="Times New Roman"/>
        </w:rPr>
        <w:t xml:space="preserve">using </w:t>
      </w:r>
      <w:r w:rsidR="0062295B" w:rsidRPr="001D6905">
        <w:rPr>
          <w:rFonts w:ascii="Times New Roman" w:hAnsi="Times New Roman"/>
        </w:rPr>
        <w:t xml:space="preserve">the technology </w:t>
      </w:r>
      <w:r w:rsidR="001A0F54">
        <w:rPr>
          <w:rFonts w:ascii="Times New Roman" w:hAnsi="Times New Roman"/>
        </w:rPr>
        <w:t>define digital</w:t>
      </w:r>
      <w:r w:rsidR="0062295B" w:rsidRPr="001D6905">
        <w:rPr>
          <w:rFonts w:ascii="Times New Roman" w:hAnsi="Times New Roman"/>
        </w:rPr>
        <w:t xml:space="preserve"> l</w:t>
      </w:r>
      <w:r w:rsidR="001A0F54">
        <w:rPr>
          <w:rFonts w:ascii="Times New Roman" w:hAnsi="Times New Roman"/>
        </w:rPr>
        <w:t>ibraries, and not the technologies alone</w:t>
      </w:r>
      <w:r w:rsidR="0062295B" w:rsidRPr="001D6905">
        <w:rPr>
          <w:rFonts w:ascii="Times New Roman" w:hAnsi="Times New Roman"/>
        </w:rPr>
        <w:t xml:space="preserve">.  </w:t>
      </w:r>
      <w:r w:rsidR="00317510" w:rsidRPr="001D6905">
        <w:rPr>
          <w:rFonts w:ascii="Times New Roman" w:hAnsi="Times New Roman"/>
        </w:rPr>
        <w:t xml:space="preserve">For digital libraries, technology serves to support access and preservation as well as the communities for the digital libraries. </w:t>
      </w:r>
      <w:r w:rsidR="00AF6A8F" w:rsidRPr="001D6905">
        <w:rPr>
          <w:rFonts w:ascii="Times New Roman" w:hAnsi="Times New Roman"/>
        </w:rPr>
        <w:t xml:space="preserve">In this paper, we review </w:t>
      </w:r>
      <w:r w:rsidR="00AF6A8F" w:rsidRPr="001D6905">
        <w:rPr>
          <w:rFonts w:ascii="Times New Roman" w:hAnsi="Times New Roman"/>
        </w:rPr>
        <w:lastRenderedPageBreak/>
        <w:t xml:space="preserve">how access </w:t>
      </w:r>
      <w:r w:rsidR="00785C7A">
        <w:rPr>
          <w:rFonts w:ascii="Times New Roman" w:hAnsi="Times New Roman"/>
        </w:rPr>
        <w:t xml:space="preserve">to library collections </w:t>
      </w:r>
      <w:r w:rsidR="00AF6A8F" w:rsidRPr="001D6905">
        <w:rPr>
          <w:rFonts w:ascii="Times New Roman" w:hAnsi="Times New Roman"/>
        </w:rPr>
        <w:t xml:space="preserve">informs digital library technical operations. We then turn to focus on the communities surrounding digital libraries </w:t>
      </w:r>
      <w:r w:rsidR="00785C7A">
        <w:rPr>
          <w:rFonts w:ascii="Times New Roman" w:hAnsi="Times New Roman"/>
        </w:rPr>
        <w:t>which serve as</w:t>
      </w:r>
      <w:r w:rsidR="00AF6A8F" w:rsidRPr="001D6905">
        <w:rPr>
          <w:rFonts w:ascii="Times New Roman" w:hAnsi="Times New Roman"/>
        </w:rPr>
        <w:t xml:space="preserve"> the most critical supports for disaster preparedness and mitigation. This critical support is explained in context with several examples:</w:t>
      </w:r>
    </w:p>
    <w:p w:rsidR="00AF6A8F" w:rsidRPr="001D6905" w:rsidRDefault="00AF6A8F" w:rsidP="00A96E5F">
      <w:pPr>
        <w:numPr>
          <w:ilvl w:val="0"/>
          <w:numId w:val="2"/>
        </w:numPr>
        <w:spacing w:line="480" w:lineRule="auto"/>
        <w:rPr>
          <w:rFonts w:ascii="Times New Roman" w:hAnsi="Times New Roman"/>
        </w:rPr>
      </w:pPr>
      <w:r w:rsidRPr="001D6905">
        <w:rPr>
          <w:rFonts w:ascii="Times New Roman" w:hAnsi="Times New Roman"/>
        </w:rPr>
        <w:t>digital library communities working to provide reference resources to assist first responders after a disaster;</w:t>
      </w:r>
    </w:p>
    <w:p w:rsidR="00AF6A8F" w:rsidRPr="001D6905" w:rsidRDefault="00AF6A8F" w:rsidP="00A96E5F">
      <w:pPr>
        <w:numPr>
          <w:ilvl w:val="0"/>
          <w:numId w:val="2"/>
        </w:numPr>
        <w:spacing w:line="480" w:lineRule="auto"/>
        <w:rPr>
          <w:rFonts w:ascii="Times New Roman" w:hAnsi="Times New Roman"/>
        </w:rPr>
      </w:pPr>
      <w:r w:rsidRPr="001D6905">
        <w:rPr>
          <w:rFonts w:ascii="Times New Roman" w:hAnsi="Times New Roman"/>
        </w:rPr>
        <w:t>digital library communities utilizing other library communities to restore materials lost in disasters;</w:t>
      </w:r>
    </w:p>
    <w:p w:rsidR="00AF6A8F" w:rsidRPr="001D6905" w:rsidRDefault="00AF6A8F" w:rsidP="00A96E5F">
      <w:pPr>
        <w:numPr>
          <w:ilvl w:val="0"/>
          <w:numId w:val="2"/>
        </w:numPr>
        <w:spacing w:line="480" w:lineRule="auto"/>
        <w:rPr>
          <w:rFonts w:ascii="Times New Roman" w:hAnsi="Times New Roman"/>
        </w:rPr>
      </w:pPr>
      <w:r w:rsidRPr="001D6905">
        <w:rPr>
          <w:rFonts w:ascii="Times New Roman" w:hAnsi="Times New Roman"/>
        </w:rPr>
        <w:t>new digital library communities developing in response to a disaster for disaster mitigation; and,</w:t>
      </w:r>
    </w:p>
    <w:p w:rsidR="00AF6A8F" w:rsidRPr="001D6905" w:rsidRDefault="00AF6A8F" w:rsidP="00A96E5F">
      <w:pPr>
        <w:numPr>
          <w:ilvl w:val="0"/>
          <w:numId w:val="2"/>
        </w:numPr>
        <w:spacing w:line="480" w:lineRule="auto"/>
        <w:rPr>
          <w:rFonts w:ascii="Times New Roman" w:hAnsi="Times New Roman"/>
          <w:i/>
        </w:rPr>
      </w:pPr>
      <w:proofErr w:type="gramStart"/>
      <w:r w:rsidRPr="001D6905">
        <w:rPr>
          <w:rFonts w:ascii="Times New Roman" w:hAnsi="Times New Roman"/>
        </w:rPr>
        <w:t>new</w:t>
      </w:r>
      <w:proofErr w:type="gramEnd"/>
      <w:r w:rsidRPr="001D6905">
        <w:rPr>
          <w:rFonts w:ascii="Times New Roman" w:hAnsi="Times New Roman"/>
        </w:rPr>
        <w:t xml:space="preserve"> communities emerging in relation to their work on particular materials, that then seek out and connect to digital libraries in support of shared goals for disaster preparedness and mitigation.</w:t>
      </w:r>
    </w:p>
    <w:p w:rsidR="00AF6A8F" w:rsidRPr="001D6905" w:rsidRDefault="005F3D30" w:rsidP="00A96E5F">
      <w:pPr>
        <w:spacing w:line="480" w:lineRule="auto"/>
        <w:rPr>
          <w:rFonts w:ascii="Times New Roman" w:hAnsi="Times New Roman"/>
        </w:rPr>
      </w:pPr>
      <w:r w:rsidRPr="001D6905">
        <w:rPr>
          <w:rFonts w:ascii="Times New Roman" w:hAnsi="Times New Roman"/>
        </w:rPr>
        <w:t xml:space="preserve">These examples </w:t>
      </w:r>
      <w:r w:rsidR="009161AF" w:rsidRPr="001D6905">
        <w:rPr>
          <w:rFonts w:ascii="Times New Roman" w:hAnsi="Times New Roman"/>
        </w:rPr>
        <w:t xml:space="preserve">illustrate the many roles and </w:t>
      </w:r>
      <w:r w:rsidRPr="001D6905">
        <w:rPr>
          <w:rFonts w:ascii="Times New Roman" w:hAnsi="Times New Roman"/>
        </w:rPr>
        <w:t xml:space="preserve">importance of digital library communities </w:t>
      </w:r>
      <w:r w:rsidR="009161AF" w:rsidRPr="001D6905">
        <w:rPr>
          <w:rFonts w:ascii="Times New Roman" w:hAnsi="Times New Roman"/>
        </w:rPr>
        <w:t xml:space="preserve">in disaster preparedness and mitigation. </w:t>
      </w:r>
    </w:p>
    <w:p w:rsidR="00592780" w:rsidRDefault="00592780" w:rsidP="00A96E5F">
      <w:pPr>
        <w:spacing w:line="480" w:lineRule="auto"/>
        <w:rPr>
          <w:rFonts w:ascii="Times New Roman" w:hAnsi="Times New Roman"/>
          <w:b/>
        </w:rPr>
      </w:pPr>
    </w:p>
    <w:p w:rsidR="00725159" w:rsidRPr="001D6905" w:rsidRDefault="007F7EC3" w:rsidP="00A96E5F">
      <w:pPr>
        <w:spacing w:line="480" w:lineRule="auto"/>
        <w:rPr>
          <w:rFonts w:ascii="Times New Roman" w:hAnsi="Times New Roman"/>
          <w:b/>
        </w:rPr>
      </w:pPr>
      <w:r w:rsidRPr="001D6905">
        <w:rPr>
          <w:rFonts w:ascii="Times New Roman" w:hAnsi="Times New Roman"/>
          <w:b/>
        </w:rPr>
        <w:t xml:space="preserve">Technical Considerations </w:t>
      </w:r>
    </w:p>
    <w:p w:rsidR="00995A43" w:rsidRPr="001D6905" w:rsidRDefault="006D1F0B" w:rsidP="005709D5">
      <w:pPr>
        <w:spacing w:line="480" w:lineRule="auto"/>
        <w:ind w:firstLine="720"/>
        <w:rPr>
          <w:rFonts w:ascii="Times New Roman" w:hAnsi="Times New Roman"/>
        </w:rPr>
      </w:pPr>
      <w:r w:rsidRPr="001D6905">
        <w:rPr>
          <w:rFonts w:ascii="Times New Roman" w:hAnsi="Times New Roman"/>
        </w:rPr>
        <w:t xml:space="preserve">As the </w:t>
      </w:r>
      <w:r w:rsidRPr="001D6905">
        <w:rPr>
          <w:rFonts w:ascii="Times New Roman" w:hAnsi="Times New Roman"/>
          <w:i/>
        </w:rPr>
        <w:t>Final Report of the Blue Ribbon Task Force on Sustainable Digital Preservation and Access</w:t>
      </w:r>
      <w:r w:rsidRPr="001D6905">
        <w:rPr>
          <w:rFonts w:ascii="Times New Roman" w:hAnsi="Times New Roman"/>
        </w:rPr>
        <w:t xml:space="preserve"> states, “Without preservation, there is no access.” The reverse is also true for digital libraries: without access, there is no preservation. The Committee For Film Preservation and Public Access before The National Film Preservation Board of the Library of Congress notes this in speaking about film preservation, stating: “Preservation </w:t>
      </w:r>
      <w:r w:rsidRPr="001D6905">
        <w:rPr>
          <w:rFonts w:ascii="Times New Roman" w:hAnsi="Times New Roman"/>
        </w:rPr>
        <w:lastRenderedPageBreak/>
        <w:t>without access is pointless.”</w:t>
      </w:r>
      <w:r w:rsidR="00A27224" w:rsidRPr="001D6905">
        <w:rPr>
          <w:rFonts w:ascii="Times New Roman" w:hAnsi="Times New Roman"/>
        </w:rPr>
        <w:t xml:space="preserve"> </w:t>
      </w:r>
      <w:r w:rsidR="009B342A" w:rsidRPr="001D6905">
        <w:rPr>
          <w:rFonts w:ascii="Times New Roman" w:hAnsi="Times New Roman"/>
        </w:rPr>
        <w:t>For digital libraries, preservation concerns must also be access concerns</w:t>
      </w:r>
      <w:r w:rsidRPr="001D6905">
        <w:rPr>
          <w:rFonts w:ascii="Times New Roman" w:hAnsi="Times New Roman"/>
        </w:rPr>
        <w:t xml:space="preserve"> </w:t>
      </w:r>
      <w:r w:rsidR="004060E8" w:rsidRPr="001D6905">
        <w:rPr>
          <w:rFonts w:ascii="Times New Roman" w:hAnsi="Times New Roman"/>
        </w:rPr>
        <w:t xml:space="preserve">because of the scale of the work involved in digital preservation. </w:t>
      </w:r>
    </w:p>
    <w:p w:rsidR="002C686E" w:rsidRPr="001D6905" w:rsidRDefault="004060E8" w:rsidP="005709D5">
      <w:pPr>
        <w:spacing w:line="480" w:lineRule="auto"/>
        <w:ind w:firstLine="720"/>
        <w:rPr>
          <w:rFonts w:ascii="Times New Roman" w:hAnsi="Times New Roman"/>
        </w:rPr>
      </w:pPr>
      <w:r w:rsidRPr="001D6905">
        <w:rPr>
          <w:rFonts w:ascii="Times New Roman" w:hAnsi="Times New Roman"/>
        </w:rPr>
        <w:t>T</w:t>
      </w:r>
      <w:r w:rsidR="005412DE" w:rsidRPr="001D6905">
        <w:rPr>
          <w:rFonts w:ascii="Times New Roman" w:hAnsi="Times New Roman"/>
        </w:rPr>
        <w:t xml:space="preserve">he scale of </w:t>
      </w:r>
      <w:r w:rsidRPr="001D6905">
        <w:rPr>
          <w:rFonts w:ascii="Times New Roman" w:hAnsi="Times New Roman"/>
        </w:rPr>
        <w:t>this</w:t>
      </w:r>
      <w:r w:rsidR="006D1F0B" w:rsidRPr="001D6905">
        <w:rPr>
          <w:rFonts w:ascii="Times New Roman" w:hAnsi="Times New Roman"/>
        </w:rPr>
        <w:t xml:space="preserve"> work creates many</w:t>
      </w:r>
      <w:r w:rsidR="005412DE" w:rsidRPr="001D6905">
        <w:rPr>
          <w:rFonts w:ascii="Times New Roman" w:hAnsi="Times New Roman"/>
        </w:rPr>
        <w:t xml:space="preserve"> </w:t>
      </w:r>
      <w:r w:rsidR="006D1F0B" w:rsidRPr="001D6905">
        <w:rPr>
          <w:rFonts w:ascii="Times New Roman" w:hAnsi="Times New Roman"/>
        </w:rPr>
        <w:t xml:space="preserve">demands that can only be supported through supporting access.  </w:t>
      </w:r>
      <w:r w:rsidR="002C686E" w:rsidRPr="001D6905">
        <w:rPr>
          <w:rFonts w:ascii="Times New Roman" w:hAnsi="Times New Roman"/>
        </w:rPr>
        <w:t xml:space="preserve">Clay </w:t>
      </w:r>
      <w:proofErr w:type="spellStart"/>
      <w:r w:rsidR="002C686E" w:rsidRPr="001D6905">
        <w:rPr>
          <w:rFonts w:ascii="Times New Roman" w:hAnsi="Times New Roman"/>
        </w:rPr>
        <w:t>Shirkey</w:t>
      </w:r>
      <w:proofErr w:type="spellEnd"/>
      <w:r w:rsidR="002C686E" w:rsidRPr="001D6905">
        <w:rPr>
          <w:rFonts w:ascii="Times New Roman" w:hAnsi="Times New Roman"/>
        </w:rPr>
        <w:t xml:space="preserve">, in the </w:t>
      </w:r>
      <w:r w:rsidR="002C686E" w:rsidRPr="001D6905">
        <w:rPr>
          <w:rFonts w:ascii="Times New Roman" w:hAnsi="Times New Roman"/>
          <w:i/>
        </w:rPr>
        <w:t>Library of Congress Archive Ingest and Handling Test</w:t>
      </w:r>
      <w:r w:rsidR="002660D0" w:rsidRPr="001D6905">
        <w:rPr>
          <w:rFonts w:ascii="Times New Roman" w:hAnsi="Times New Roman"/>
          <w:i/>
        </w:rPr>
        <w:t xml:space="preserve"> (AIHT) Final Report</w:t>
      </w:r>
      <w:r w:rsidR="002C686E" w:rsidRPr="001D6905">
        <w:rPr>
          <w:rFonts w:ascii="Times New Roman" w:hAnsi="Times New Roman"/>
          <w:i/>
        </w:rPr>
        <w:t xml:space="preserve">, </w:t>
      </w:r>
      <w:r w:rsidR="0052687C" w:rsidRPr="001D6905">
        <w:rPr>
          <w:rFonts w:ascii="Times New Roman" w:hAnsi="Times New Roman"/>
        </w:rPr>
        <w:t>explains</w:t>
      </w:r>
      <w:r w:rsidR="002C686E" w:rsidRPr="001D6905">
        <w:rPr>
          <w:rFonts w:ascii="Times New Roman" w:hAnsi="Times New Roman"/>
        </w:rPr>
        <w:t>:</w:t>
      </w:r>
    </w:p>
    <w:p w:rsidR="002C686E" w:rsidRDefault="002C686E" w:rsidP="00A96E5F">
      <w:pPr>
        <w:ind w:left="720"/>
        <w:rPr>
          <w:rFonts w:ascii="Times New Roman" w:hAnsi="Times New Roman"/>
        </w:rPr>
      </w:pPr>
      <w:r w:rsidRPr="001D6905">
        <w:rPr>
          <w:rFonts w:ascii="Times New Roman" w:hAnsi="Times New Roman"/>
        </w:rPr>
        <w:t>Scale is a mysterious phenomenon - processes that work fine at one scale can fail at 10 times that size, and processes that successfully handle a 10-times scale can fail at 100 times. […] Institutions offering tools and systems for digital preservation should be careful to explain the scale(s) at which their systems have been tested, and institutions implementing such systems should ideally test them at scales far above</w:t>
      </w:r>
      <w:r w:rsidR="002660D0" w:rsidRPr="001D6905">
        <w:rPr>
          <w:rFonts w:ascii="Times New Roman" w:hAnsi="Times New Roman"/>
        </w:rPr>
        <w:t xml:space="preserve"> their intended daily operation</w:t>
      </w:r>
      <w:r w:rsidRPr="001D6905">
        <w:rPr>
          <w:rFonts w:ascii="Times New Roman" w:hAnsi="Times New Roman"/>
        </w:rPr>
        <w:t xml:space="preserve"> </w:t>
      </w:r>
      <w:r w:rsidR="002660D0" w:rsidRPr="001D6905">
        <w:rPr>
          <w:rFonts w:ascii="Times New Roman" w:hAnsi="Times New Roman"/>
        </w:rPr>
        <w:t>[…]</w:t>
      </w:r>
      <w:r w:rsidRPr="001D6905">
        <w:rPr>
          <w:rFonts w:ascii="Times New Roman" w:hAnsi="Times New Roman"/>
        </w:rPr>
        <w:t xml:space="preserve"> to have a sense of when scali</w:t>
      </w:r>
      <w:r w:rsidR="0052687C" w:rsidRPr="001D6905">
        <w:rPr>
          <w:rFonts w:ascii="Times New Roman" w:hAnsi="Times New Roman"/>
        </w:rPr>
        <w:t>ng issues are likely to appear.</w:t>
      </w:r>
      <w:r w:rsidRPr="001D6905">
        <w:rPr>
          <w:rFonts w:ascii="Times New Roman" w:hAnsi="Times New Roman"/>
        </w:rPr>
        <w:t xml:space="preserve"> (</w:t>
      </w:r>
      <w:r w:rsidR="00921425">
        <w:rPr>
          <w:rFonts w:ascii="Times New Roman" w:hAnsi="Times New Roman"/>
        </w:rPr>
        <w:t>Page</w:t>
      </w:r>
      <w:r w:rsidR="0052687C" w:rsidRPr="001D6905">
        <w:rPr>
          <w:rFonts w:ascii="Times New Roman" w:hAnsi="Times New Roman"/>
        </w:rPr>
        <w:t xml:space="preserve"> 26) </w:t>
      </w:r>
    </w:p>
    <w:p w:rsidR="00A96E5F" w:rsidRPr="001D6905" w:rsidRDefault="00A96E5F" w:rsidP="00A96E5F">
      <w:pPr>
        <w:ind w:left="720"/>
        <w:rPr>
          <w:rFonts w:ascii="Times New Roman" w:hAnsi="Times New Roman"/>
        </w:rPr>
      </w:pPr>
    </w:p>
    <w:p w:rsidR="00B60170" w:rsidRPr="001D6905" w:rsidRDefault="00A51E6B" w:rsidP="00A96E5F">
      <w:pPr>
        <w:spacing w:line="480" w:lineRule="auto"/>
        <w:rPr>
          <w:rFonts w:ascii="Times New Roman" w:hAnsi="Times New Roman"/>
        </w:rPr>
      </w:pPr>
      <w:r w:rsidRPr="001D6905">
        <w:rPr>
          <w:rFonts w:ascii="Times New Roman" w:hAnsi="Times New Roman"/>
        </w:rPr>
        <w:t>More simply stated, “</w:t>
      </w:r>
      <w:r w:rsidR="00921425">
        <w:rPr>
          <w:rFonts w:ascii="Times New Roman" w:hAnsi="Times New Roman"/>
        </w:rPr>
        <w:t>Scale changes everything” (</w:t>
      </w:r>
      <w:r w:rsidRPr="001D6905">
        <w:rPr>
          <w:rFonts w:ascii="Times New Roman" w:hAnsi="Times New Roman"/>
        </w:rPr>
        <w:t>Owens</w:t>
      </w:r>
      <w:r w:rsidR="000412BC">
        <w:rPr>
          <w:rFonts w:ascii="Times New Roman" w:hAnsi="Times New Roman"/>
        </w:rPr>
        <w:t>; Page 28</w:t>
      </w:r>
      <w:r w:rsidRPr="001D6905">
        <w:rPr>
          <w:rFonts w:ascii="Times New Roman" w:hAnsi="Times New Roman"/>
        </w:rPr>
        <w:t xml:space="preserve">).  </w:t>
      </w:r>
      <w:r w:rsidR="00456F5E" w:rsidRPr="001D6905">
        <w:rPr>
          <w:rFonts w:ascii="Times New Roman" w:hAnsi="Times New Roman"/>
        </w:rPr>
        <w:t>D</w:t>
      </w:r>
      <w:r w:rsidR="005412DE" w:rsidRPr="001D6905">
        <w:rPr>
          <w:rFonts w:ascii="Times New Roman" w:hAnsi="Times New Roman"/>
        </w:rPr>
        <w:t>igital preservation work</w:t>
      </w:r>
      <w:r w:rsidR="00456F5E" w:rsidRPr="001D6905">
        <w:rPr>
          <w:rFonts w:ascii="Times New Roman" w:hAnsi="Times New Roman"/>
        </w:rPr>
        <w:t xml:space="preserve"> demands</w:t>
      </w:r>
      <w:r w:rsidR="005412DE" w:rsidRPr="001D6905">
        <w:rPr>
          <w:rFonts w:ascii="Times New Roman" w:hAnsi="Times New Roman"/>
        </w:rPr>
        <w:t xml:space="preserve"> access </w:t>
      </w:r>
      <w:r w:rsidR="00456F5E" w:rsidRPr="001D6905">
        <w:rPr>
          <w:rFonts w:ascii="Times New Roman" w:hAnsi="Times New Roman"/>
        </w:rPr>
        <w:t xml:space="preserve">to files as </w:t>
      </w:r>
      <w:r w:rsidR="005412DE" w:rsidRPr="001D6905">
        <w:rPr>
          <w:rFonts w:ascii="Times New Roman" w:hAnsi="Times New Roman"/>
        </w:rPr>
        <w:t>a necessary part of that testing and vali</w:t>
      </w:r>
      <w:r w:rsidR="00456F5E" w:rsidRPr="001D6905">
        <w:rPr>
          <w:rFonts w:ascii="Times New Roman" w:hAnsi="Times New Roman"/>
        </w:rPr>
        <w:t>dation for scale. Access is</w:t>
      </w:r>
      <w:r w:rsidR="005412DE" w:rsidRPr="001D6905">
        <w:rPr>
          <w:rFonts w:ascii="Times New Roman" w:hAnsi="Times New Roman"/>
        </w:rPr>
        <w:t xml:space="preserve"> </w:t>
      </w:r>
      <w:r w:rsidR="00B60170" w:rsidRPr="001D6905">
        <w:rPr>
          <w:rFonts w:ascii="Times New Roman" w:hAnsi="Times New Roman"/>
        </w:rPr>
        <w:t xml:space="preserve">thus </w:t>
      </w:r>
      <w:r w:rsidR="00456F5E" w:rsidRPr="001D6905">
        <w:rPr>
          <w:rFonts w:ascii="Times New Roman" w:hAnsi="Times New Roman"/>
        </w:rPr>
        <w:t>an ever-present workflow requirement</w:t>
      </w:r>
      <w:r w:rsidR="00B60170" w:rsidRPr="001D6905">
        <w:rPr>
          <w:rFonts w:ascii="Times New Roman" w:hAnsi="Times New Roman"/>
        </w:rPr>
        <w:t>. Access is required</w:t>
      </w:r>
      <w:r w:rsidR="007B3303" w:rsidRPr="001D6905">
        <w:rPr>
          <w:rFonts w:ascii="Times New Roman" w:hAnsi="Times New Roman"/>
        </w:rPr>
        <w:t xml:space="preserve"> to support digital preservation as an ongoing process for</w:t>
      </w:r>
      <w:r w:rsidR="00456F5E" w:rsidRPr="001D6905">
        <w:rPr>
          <w:rFonts w:ascii="Times New Roman" w:hAnsi="Times New Roman"/>
        </w:rPr>
        <w:t xml:space="preserve"> the lifecycle of digital information</w:t>
      </w:r>
      <w:r w:rsidR="007B3303" w:rsidRPr="001D6905">
        <w:rPr>
          <w:rFonts w:ascii="Times New Roman" w:hAnsi="Times New Roman"/>
        </w:rPr>
        <w:t xml:space="preserve"> and materials</w:t>
      </w:r>
      <w:r w:rsidR="00456F5E" w:rsidRPr="001D6905">
        <w:rPr>
          <w:rFonts w:ascii="Times New Roman" w:hAnsi="Times New Roman"/>
        </w:rPr>
        <w:t xml:space="preserve">. </w:t>
      </w:r>
      <w:r w:rsidR="00B60170" w:rsidRPr="001D6905">
        <w:rPr>
          <w:rFonts w:ascii="Times New Roman" w:hAnsi="Times New Roman"/>
        </w:rPr>
        <w:t>Even for a relatively small set of materials, the work to support digital preservation is a perpetual process within the information lifecycle.</w:t>
      </w:r>
    </w:p>
    <w:p w:rsidR="005412DE" w:rsidRPr="001D6905" w:rsidRDefault="00B60170" w:rsidP="00A96E5F">
      <w:pPr>
        <w:spacing w:line="480" w:lineRule="auto"/>
        <w:ind w:firstLine="720"/>
        <w:rPr>
          <w:rFonts w:ascii="Times New Roman" w:hAnsi="Times New Roman"/>
        </w:rPr>
      </w:pPr>
      <w:r w:rsidRPr="001D6905">
        <w:rPr>
          <w:rFonts w:ascii="Times New Roman" w:hAnsi="Times New Roman"/>
        </w:rPr>
        <w:t xml:space="preserve">The scale of the work is measured by the quantity of materials with an infinite timeline for digital preservation processing. Because of the ongoing timeline, the scale of the work continues to grow </w:t>
      </w:r>
      <w:r w:rsidR="004726CE" w:rsidRPr="001D6905">
        <w:rPr>
          <w:rFonts w:ascii="Times New Roman" w:hAnsi="Times New Roman"/>
        </w:rPr>
        <w:t xml:space="preserve">beyond the simple quantity of materials. </w:t>
      </w:r>
      <w:r w:rsidR="00995A43" w:rsidRPr="001D6905">
        <w:rPr>
          <w:rFonts w:ascii="Times New Roman" w:hAnsi="Times New Roman"/>
        </w:rPr>
        <w:t xml:space="preserve">The unending timeline for digital preservation work must be able to adapt to technological changes. </w:t>
      </w:r>
      <w:r w:rsidR="001C3A74" w:rsidRPr="001D6905">
        <w:rPr>
          <w:rFonts w:ascii="Times New Roman" w:hAnsi="Times New Roman"/>
        </w:rPr>
        <w:t xml:space="preserve">For specific technologies as they relate to the overall preservation processes for the lifecycle, see </w:t>
      </w:r>
      <w:r w:rsidR="007F7EC3" w:rsidRPr="001D6905">
        <w:rPr>
          <w:rFonts w:ascii="Times New Roman" w:hAnsi="Times New Roman"/>
        </w:rPr>
        <w:t xml:space="preserve">Mark </w:t>
      </w:r>
      <w:r w:rsidR="005367B4">
        <w:rPr>
          <w:rFonts w:ascii="Times New Roman" w:hAnsi="Times New Roman"/>
        </w:rPr>
        <w:t xml:space="preserve">V. </w:t>
      </w:r>
      <w:r w:rsidR="007F7EC3" w:rsidRPr="001D6905">
        <w:rPr>
          <w:rFonts w:ascii="Times New Roman" w:hAnsi="Times New Roman"/>
        </w:rPr>
        <w:t>Sullivan</w:t>
      </w:r>
      <w:r w:rsidR="001C3A74" w:rsidRPr="001D6905">
        <w:rPr>
          <w:rFonts w:ascii="Times New Roman" w:hAnsi="Times New Roman"/>
        </w:rPr>
        <w:t xml:space="preserve">’s “Digitization is </w:t>
      </w:r>
      <w:proofErr w:type="gramStart"/>
      <w:r w:rsidR="001C3A74" w:rsidRPr="001D6905">
        <w:rPr>
          <w:rFonts w:ascii="Times New Roman" w:hAnsi="Times New Roman"/>
        </w:rPr>
        <w:t>Not</w:t>
      </w:r>
      <w:proofErr w:type="gramEnd"/>
      <w:r w:rsidR="001C3A74" w:rsidRPr="001D6905">
        <w:rPr>
          <w:rFonts w:ascii="Times New Roman" w:hAnsi="Times New Roman"/>
        </w:rPr>
        <w:t xml:space="preserve"> Enough”</w:t>
      </w:r>
      <w:r w:rsidR="005E1E79">
        <w:rPr>
          <w:rFonts w:ascii="Times New Roman" w:hAnsi="Times New Roman"/>
        </w:rPr>
        <w:t xml:space="preserve"> (ACURIL 2011).</w:t>
      </w:r>
      <w:r w:rsidR="001C3A74" w:rsidRPr="001D6905">
        <w:rPr>
          <w:rFonts w:ascii="Times New Roman" w:hAnsi="Times New Roman"/>
        </w:rPr>
        <w:t xml:space="preserve"> In it, he </w:t>
      </w:r>
      <w:r w:rsidR="00297028" w:rsidRPr="001D6905">
        <w:rPr>
          <w:rFonts w:ascii="Times New Roman" w:hAnsi="Times New Roman"/>
        </w:rPr>
        <w:t xml:space="preserve">similarly </w:t>
      </w:r>
      <w:r w:rsidR="001C3A74" w:rsidRPr="001D6905">
        <w:rPr>
          <w:rFonts w:ascii="Times New Roman" w:hAnsi="Times New Roman"/>
        </w:rPr>
        <w:t>stresses that specific technical concerns</w:t>
      </w:r>
      <w:r w:rsidR="00297028" w:rsidRPr="001D6905">
        <w:rPr>
          <w:rFonts w:ascii="Times New Roman" w:hAnsi="Times New Roman"/>
        </w:rPr>
        <w:t xml:space="preserve"> are secondary and defined in support of digital preservation as an “active, constant process, exponentially multi-tiered, about ensuring </w:t>
      </w:r>
      <w:r w:rsidR="00297028" w:rsidRPr="001D6905">
        <w:rPr>
          <w:rFonts w:ascii="Times New Roman" w:hAnsi="Times New Roman"/>
        </w:rPr>
        <w:lastRenderedPageBreak/>
        <w:t>continuing accessibility” and that it is still “relatively new and somewhat in its infancy.”</w:t>
      </w:r>
      <w:r w:rsidR="00610ADF" w:rsidRPr="001D6905">
        <w:rPr>
          <w:rFonts w:ascii="Times New Roman" w:hAnsi="Times New Roman"/>
        </w:rPr>
        <w:t xml:space="preserve"> Digital libraries thus perform ongoing and changing work in order to support digital preservation. </w:t>
      </w:r>
      <w:r w:rsidR="000873AD" w:rsidRPr="001D6905">
        <w:rPr>
          <w:rFonts w:ascii="Times New Roman" w:hAnsi="Times New Roman"/>
        </w:rPr>
        <w:t>Because digital libraries must continually</w:t>
      </w:r>
      <w:r w:rsidR="00995A43" w:rsidRPr="001D6905">
        <w:rPr>
          <w:rFonts w:ascii="Times New Roman" w:hAnsi="Times New Roman"/>
        </w:rPr>
        <w:t xml:space="preserve"> adapt to new technologies and </w:t>
      </w:r>
      <w:r w:rsidR="000873AD" w:rsidRPr="001D6905">
        <w:rPr>
          <w:rFonts w:ascii="Times New Roman" w:hAnsi="Times New Roman"/>
        </w:rPr>
        <w:t>conduct</w:t>
      </w:r>
      <w:r w:rsidR="00995A43" w:rsidRPr="001D6905">
        <w:rPr>
          <w:rFonts w:ascii="Times New Roman" w:hAnsi="Times New Roman"/>
        </w:rPr>
        <w:t xml:space="preserve"> ongoing work to support </w:t>
      </w:r>
      <w:r w:rsidR="00257D7F" w:rsidRPr="001D6905">
        <w:rPr>
          <w:rFonts w:ascii="Times New Roman" w:hAnsi="Times New Roman"/>
        </w:rPr>
        <w:t xml:space="preserve">digital preservation </w:t>
      </w:r>
      <w:r w:rsidR="00995A43" w:rsidRPr="001D6905">
        <w:rPr>
          <w:rFonts w:ascii="Times New Roman" w:hAnsi="Times New Roman"/>
        </w:rPr>
        <w:t>process</w:t>
      </w:r>
      <w:r w:rsidR="00257D7F" w:rsidRPr="001D6905">
        <w:rPr>
          <w:rFonts w:ascii="Times New Roman" w:hAnsi="Times New Roman"/>
        </w:rPr>
        <w:t>es</w:t>
      </w:r>
      <w:r w:rsidR="00995A43" w:rsidRPr="001D6905">
        <w:rPr>
          <w:rFonts w:ascii="Times New Roman" w:hAnsi="Times New Roman"/>
        </w:rPr>
        <w:t xml:space="preserve">, digital libraries </w:t>
      </w:r>
      <w:r w:rsidR="00490895" w:rsidRPr="001D6905">
        <w:rPr>
          <w:rFonts w:ascii="Times New Roman" w:hAnsi="Times New Roman"/>
        </w:rPr>
        <w:t xml:space="preserve">face challenges </w:t>
      </w:r>
      <w:r w:rsidR="00995A43" w:rsidRPr="001D6905">
        <w:rPr>
          <w:rFonts w:ascii="Times New Roman" w:hAnsi="Times New Roman"/>
        </w:rPr>
        <w:t xml:space="preserve">that require </w:t>
      </w:r>
      <w:r w:rsidR="00803119" w:rsidRPr="001D6905">
        <w:rPr>
          <w:rFonts w:ascii="Times New Roman" w:hAnsi="Times New Roman"/>
        </w:rPr>
        <w:t xml:space="preserve">a </w:t>
      </w:r>
      <w:r w:rsidR="00995A43" w:rsidRPr="001D6905">
        <w:rPr>
          <w:rFonts w:ascii="Times New Roman" w:hAnsi="Times New Roman"/>
        </w:rPr>
        <w:t xml:space="preserve">community </w:t>
      </w:r>
      <w:r w:rsidR="00803119" w:rsidRPr="001D6905">
        <w:rPr>
          <w:rFonts w:ascii="Times New Roman" w:hAnsi="Times New Roman"/>
        </w:rPr>
        <w:t xml:space="preserve">for </w:t>
      </w:r>
      <w:r w:rsidR="00995A43" w:rsidRPr="001D6905">
        <w:rPr>
          <w:rFonts w:ascii="Times New Roman" w:hAnsi="Times New Roman"/>
        </w:rPr>
        <w:t xml:space="preserve">support.  </w:t>
      </w:r>
    </w:p>
    <w:p w:rsidR="00592780" w:rsidRDefault="00592780" w:rsidP="00A96E5F">
      <w:pPr>
        <w:spacing w:line="480" w:lineRule="auto"/>
        <w:rPr>
          <w:rFonts w:ascii="Times New Roman" w:hAnsi="Times New Roman"/>
          <w:b/>
        </w:rPr>
      </w:pPr>
    </w:p>
    <w:p w:rsidR="005412DE" w:rsidRPr="00A96E5F" w:rsidRDefault="005C24D5" w:rsidP="00A96E5F">
      <w:pPr>
        <w:spacing w:line="480" w:lineRule="auto"/>
        <w:rPr>
          <w:rFonts w:ascii="Times New Roman" w:hAnsi="Times New Roman"/>
          <w:b/>
        </w:rPr>
      </w:pPr>
      <w:r w:rsidRPr="001D6905">
        <w:rPr>
          <w:rFonts w:ascii="Times New Roman" w:hAnsi="Times New Roman"/>
          <w:b/>
        </w:rPr>
        <w:t xml:space="preserve">Digital Library Communities </w:t>
      </w:r>
    </w:p>
    <w:p w:rsidR="00F6690F" w:rsidRPr="001D6905" w:rsidRDefault="005F6399" w:rsidP="00A96E5F">
      <w:pPr>
        <w:spacing w:line="480" w:lineRule="auto"/>
        <w:ind w:firstLine="720"/>
        <w:rPr>
          <w:rFonts w:ascii="Times New Roman" w:hAnsi="Times New Roman"/>
        </w:rPr>
      </w:pPr>
      <w:r w:rsidRPr="001D6905">
        <w:rPr>
          <w:rFonts w:ascii="Times New Roman" w:hAnsi="Times New Roman"/>
        </w:rPr>
        <w:t>D</w:t>
      </w:r>
      <w:r w:rsidR="005412DE" w:rsidRPr="001D6905">
        <w:rPr>
          <w:rFonts w:ascii="Times New Roman" w:hAnsi="Times New Roman"/>
        </w:rPr>
        <w:t xml:space="preserve">igital library </w:t>
      </w:r>
      <w:r w:rsidRPr="001D6905">
        <w:rPr>
          <w:rFonts w:ascii="Times New Roman" w:hAnsi="Times New Roman"/>
        </w:rPr>
        <w:t>communities s</w:t>
      </w:r>
      <w:r w:rsidR="005C6C82" w:rsidRPr="001D6905">
        <w:rPr>
          <w:rFonts w:ascii="Times New Roman" w:hAnsi="Times New Roman"/>
        </w:rPr>
        <w:t>upport</w:t>
      </w:r>
      <w:r w:rsidR="005412DE" w:rsidRPr="001D6905">
        <w:rPr>
          <w:rFonts w:ascii="Times New Roman" w:hAnsi="Times New Roman"/>
        </w:rPr>
        <w:t xml:space="preserve"> disaster preparedness, immediate response, and mitigation. </w:t>
      </w:r>
      <w:r w:rsidR="00F6690F" w:rsidRPr="001D6905">
        <w:rPr>
          <w:rFonts w:ascii="Times New Roman" w:hAnsi="Times New Roman"/>
        </w:rPr>
        <w:t xml:space="preserve">The simplest and most obvious supports are the digitization of materials as part of disaster preparedness and the restoration of preserved materials after a disaster as part of disaster mitigation. </w:t>
      </w:r>
      <w:r w:rsidR="005412DE" w:rsidRPr="001D6905">
        <w:rPr>
          <w:rFonts w:ascii="Times New Roman" w:hAnsi="Times New Roman"/>
        </w:rPr>
        <w:t xml:space="preserve">Digital library communities </w:t>
      </w:r>
      <w:r w:rsidR="00F6690F" w:rsidRPr="001D6905">
        <w:rPr>
          <w:rFonts w:ascii="Times New Roman" w:hAnsi="Times New Roman"/>
        </w:rPr>
        <w:t>follow</w:t>
      </w:r>
      <w:r w:rsidR="005412DE" w:rsidRPr="001D6905">
        <w:rPr>
          <w:rFonts w:ascii="Times New Roman" w:hAnsi="Times New Roman"/>
        </w:rPr>
        <w:t xml:space="preserve"> other </w:t>
      </w:r>
      <w:r w:rsidR="00A521DE" w:rsidRPr="001D6905">
        <w:rPr>
          <w:rFonts w:ascii="Times New Roman" w:hAnsi="Times New Roman"/>
        </w:rPr>
        <w:t xml:space="preserve">library communities </w:t>
      </w:r>
      <w:r w:rsidR="00F6690F" w:rsidRPr="001D6905">
        <w:rPr>
          <w:rFonts w:ascii="Times New Roman" w:hAnsi="Times New Roman"/>
        </w:rPr>
        <w:t xml:space="preserve">in their </w:t>
      </w:r>
      <w:r w:rsidR="00A521DE" w:rsidRPr="001D6905">
        <w:rPr>
          <w:rFonts w:ascii="Times New Roman" w:hAnsi="Times New Roman"/>
        </w:rPr>
        <w:t>support</w:t>
      </w:r>
      <w:r w:rsidR="00F6690F" w:rsidRPr="001D6905">
        <w:rPr>
          <w:rFonts w:ascii="Times New Roman" w:hAnsi="Times New Roman"/>
        </w:rPr>
        <w:t xml:space="preserve"> of</w:t>
      </w:r>
      <w:r w:rsidR="005412DE" w:rsidRPr="001D6905">
        <w:rPr>
          <w:rFonts w:ascii="Times New Roman" w:hAnsi="Times New Roman"/>
        </w:rPr>
        <w:t xml:space="preserve"> </w:t>
      </w:r>
      <w:r w:rsidR="00F6690F" w:rsidRPr="001D6905">
        <w:rPr>
          <w:rFonts w:ascii="Times New Roman" w:hAnsi="Times New Roman"/>
        </w:rPr>
        <w:t xml:space="preserve">disaster </w:t>
      </w:r>
      <w:r w:rsidR="005412DE" w:rsidRPr="001D6905">
        <w:rPr>
          <w:rFonts w:ascii="Times New Roman" w:hAnsi="Times New Roman"/>
        </w:rPr>
        <w:t xml:space="preserve">preparedness </w:t>
      </w:r>
      <w:r w:rsidR="00F6690F" w:rsidRPr="001D6905">
        <w:rPr>
          <w:rFonts w:ascii="Times New Roman" w:hAnsi="Times New Roman"/>
        </w:rPr>
        <w:t xml:space="preserve">and mitigation </w:t>
      </w:r>
      <w:r w:rsidR="000A316B" w:rsidRPr="001D6905">
        <w:rPr>
          <w:rFonts w:ascii="Times New Roman" w:hAnsi="Times New Roman"/>
        </w:rPr>
        <w:t>by</w:t>
      </w:r>
      <w:r w:rsidR="005412DE" w:rsidRPr="001D6905">
        <w:rPr>
          <w:rFonts w:ascii="Times New Roman" w:hAnsi="Times New Roman"/>
        </w:rPr>
        <w:t xml:space="preserve"> sharing copies of mater</w:t>
      </w:r>
      <w:r w:rsidR="00E35200" w:rsidRPr="001D6905">
        <w:rPr>
          <w:rFonts w:ascii="Times New Roman" w:hAnsi="Times New Roman"/>
        </w:rPr>
        <w:t>ials for preservation</w:t>
      </w:r>
      <w:r w:rsidR="00ED7617" w:rsidRPr="001D6905">
        <w:rPr>
          <w:rFonts w:ascii="Times New Roman" w:hAnsi="Times New Roman"/>
        </w:rPr>
        <w:t xml:space="preserve"> and access</w:t>
      </w:r>
      <w:r w:rsidR="005412DE" w:rsidRPr="001D6905">
        <w:rPr>
          <w:rFonts w:ascii="Times New Roman" w:hAnsi="Times New Roman"/>
        </w:rPr>
        <w:t>. Before digital libraries</w:t>
      </w:r>
      <w:r w:rsidR="009A3BD4" w:rsidRPr="001D6905">
        <w:rPr>
          <w:rFonts w:ascii="Times New Roman" w:hAnsi="Times New Roman"/>
        </w:rPr>
        <w:t xml:space="preserve"> shared digital copies</w:t>
      </w:r>
      <w:r w:rsidR="005412DE" w:rsidRPr="001D6905">
        <w:rPr>
          <w:rFonts w:ascii="Times New Roman" w:hAnsi="Times New Roman"/>
        </w:rPr>
        <w:t xml:space="preserve">, libraries </w:t>
      </w:r>
      <w:r w:rsidR="00902E31" w:rsidRPr="001D6905">
        <w:rPr>
          <w:rFonts w:ascii="Times New Roman" w:hAnsi="Times New Roman"/>
        </w:rPr>
        <w:t>performed this work with</w:t>
      </w:r>
      <w:r w:rsidR="005412DE" w:rsidRPr="001D6905">
        <w:rPr>
          <w:rFonts w:ascii="Times New Roman" w:hAnsi="Times New Roman"/>
        </w:rPr>
        <w:t xml:space="preserve"> print copies, microfilm, and other </w:t>
      </w:r>
      <w:r w:rsidR="00B33306" w:rsidRPr="001D6905">
        <w:rPr>
          <w:rFonts w:ascii="Times New Roman" w:hAnsi="Times New Roman"/>
        </w:rPr>
        <w:t>analog</w:t>
      </w:r>
      <w:r w:rsidR="005D5B50" w:rsidRPr="001D6905">
        <w:rPr>
          <w:rFonts w:ascii="Times New Roman" w:hAnsi="Times New Roman"/>
        </w:rPr>
        <w:t xml:space="preserve"> </w:t>
      </w:r>
      <w:r w:rsidR="005412DE" w:rsidRPr="001D6905">
        <w:rPr>
          <w:rFonts w:ascii="Times New Roman" w:hAnsi="Times New Roman"/>
        </w:rPr>
        <w:t xml:space="preserve">formats. </w:t>
      </w:r>
      <w:r w:rsidR="000A316B" w:rsidRPr="001D6905">
        <w:rPr>
          <w:rFonts w:ascii="Times New Roman" w:hAnsi="Times New Roman"/>
        </w:rPr>
        <w:t>Digital library communities provide many less obvious supports for disaster preparedness and mitigation through their communities.</w:t>
      </w:r>
    </w:p>
    <w:p w:rsidR="00C406C1" w:rsidRPr="001D6905" w:rsidRDefault="00C406C1" w:rsidP="00A96E5F">
      <w:pPr>
        <w:spacing w:line="480" w:lineRule="auto"/>
        <w:ind w:firstLine="360"/>
        <w:rPr>
          <w:rFonts w:ascii="Times New Roman" w:hAnsi="Times New Roman"/>
        </w:rPr>
      </w:pPr>
      <w:r w:rsidRPr="001D6905">
        <w:rPr>
          <w:rFonts w:ascii="Times New Roman" w:hAnsi="Times New Roman"/>
        </w:rPr>
        <w:t xml:space="preserve">Digital libraries follow </w:t>
      </w:r>
      <w:r w:rsidR="000A316B" w:rsidRPr="001D6905">
        <w:rPr>
          <w:rFonts w:ascii="Times New Roman" w:hAnsi="Times New Roman"/>
        </w:rPr>
        <w:t xml:space="preserve">and extend </w:t>
      </w:r>
      <w:r w:rsidRPr="001D6905">
        <w:rPr>
          <w:rFonts w:ascii="Times New Roman" w:hAnsi="Times New Roman"/>
        </w:rPr>
        <w:t xml:space="preserve">traditional library supports for disasters </w:t>
      </w:r>
      <w:r w:rsidR="000A316B" w:rsidRPr="001D6905">
        <w:rPr>
          <w:rFonts w:ascii="Times New Roman" w:hAnsi="Times New Roman"/>
        </w:rPr>
        <w:t>in the manner that they</w:t>
      </w:r>
      <w:r w:rsidRPr="001D6905">
        <w:rPr>
          <w:rFonts w:ascii="Times New Roman" w:hAnsi="Times New Roman"/>
        </w:rPr>
        <w:t xml:space="preserve">: </w:t>
      </w:r>
    </w:p>
    <w:p w:rsidR="00C406C1" w:rsidRPr="001D6905" w:rsidRDefault="000A316B" w:rsidP="00A96E5F">
      <w:pPr>
        <w:numPr>
          <w:ilvl w:val="0"/>
          <w:numId w:val="2"/>
        </w:numPr>
        <w:spacing w:line="480" w:lineRule="auto"/>
        <w:rPr>
          <w:rFonts w:ascii="Times New Roman" w:hAnsi="Times New Roman"/>
        </w:rPr>
      </w:pPr>
      <w:r w:rsidRPr="001D6905">
        <w:rPr>
          <w:rFonts w:ascii="Times New Roman" w:hAnsi="Times New Roman"/>
        </w:rPr>
        <w:t>provide</w:t>
      </w:r>
      <w:r w:rsidR="00C406C1" w:rsidRPr="001D6905">
        <w:rPr>
          <w:rFonts w:ascii="Times New Roman" w:hAnsi="Times New Roman"/>
        </w:rPr>
        <w:t xml:space="preserve"> reference services and resources to assist first responders after a disaster;</w:t>
      </w:r>
    </w:p>
    <w:p w:rsidR="00C406C1" w:rsidRPr="001D6905" w:rsidRDefault="000A316B" w:rsidP="00A96E5F">
      <w:pPr>
        <w:numPr>
          <w:ilvl w:val="0"/>
          <w:numId w:val="2"/>
        </w:numPr>
        <w:spacing w:line="480" w:lineRule="auto"/>
        <w:rPr>
          <w:rFonts w:ascii="Times New Roman" w:hAnsi="Times New Roman"/>
        </w:rPr>
      </w:pPr>
      <w:r w:rsidRPr="001D6905">
        <w:rPr>
          <w:rFonts w:ascii="Times New Roman" w:hAnsi="Times New Roman"/>
        </w:rPr>
        <w:t>utilize</w:t>
      </w:r>
      <w:r w:rsidR="00C406C1" w:rsidRPr="001D6905">
        <w:rPr>
          <w:rFonts w:ascii="Times New Roman" w:hAnsi="Times New Roman"/>
        </w:rPr>
        <w:t xml:space="preserve"> library communities to restore materials lost in disasters;</w:t>
      </w:r>
    </w:p>
    <w:p w:rsidR="00C406C1" w:rsidRPr="001D6905" w:rsidRDefault="000A316B" w:rsidP="00A96E5F">
      <w:pPr>
        <w:numPr>
          <w:ilvl w:val="0"/>
          <w:numId w:val="2"/>
        </w:numPr>
        <w:spacing w:line="480" w:lineRule="auto"/>
        <w:rPr>
          <w:rFonts w:ascii="Times New Roman" w:hAnsi="Times New Roman"/>
        </w:rPr>
      </w:pPr>
      <w:r w:rsidRPr="001D6905">
        <w:rPr>
          <w:rFonts w:ascii="Times New Roman" w:hAnsi="Times New Roman"/>
        </w:rPr>
        <w:t>support</w:t>
      </w:r>
      <w:r w:rsidR="00C406C1" w:rsidRPr="001D6905">
        <w:rPr>
          <w:rFonts w:ascii="Times New Roman" w:hAnsi="Times New Roman"/>
        </w:rPr>
        <w:t xml:space="preserve"> the development of new communities to respond to disasters for disaster mitigation; and,</w:t>
      </w:r>
    </w:p>
    <w:p w:rsidR="00C406C1" w:rsidRPr="001D6905" w:rsidRDefault="00C406C1" w:rsidP="00A96E5F">
      <w:pPr>
        <w:numPr>
          <w:ilvl w:val="0"/>
          <w:numId w:val="2"/>
        </w:numPr>
        <w:spacing w:line="480" w:lineRule="auto"/>
        <w:rPr>
          <w:rFonts w:ascii="Times New Roman" w:hAnsi="Times New Roman"/>
          <w:i/>
        </w:rPr>
      </w:pPr>
      <w:proofErr w:type="gramStart"/>
      <w:r w:rsidRPr="001D6905">
        <w:rPr>
          <w:rFonts w:ascii="Times New Roman" w:hAnsi="Times New Roman"/>
        </w:rPr>
        <w:lastRenderedPageBreak/>
        <w:t>support</w:t>
      </w:r>
      <w:proofErr w:type="gramEnd"/>
      <w:r w:rsidRPr="001D6905">
        <w:rPr>
          <w:rFonts w:ascii="Times New Roman" w:hAnsi="Times New Roman"/>
        </w:rPr>
        <w:t xml:space="preserve"> new communities </w:t>
      </w:r>
      <w:r w:rsidR="00554262" w:rsidRPr="001D6905">
        <w:rPr>
          <w:rFonts w:ascii="Times New Roman" w:hAnsi="Times New Roman"/>
        </w:rPr>
        <w:t>that emerge based on</w:t>
      </w:r>
      <w:r w:rsidRPr="001D6905">
        <w:rPr>
          <w:rFonts w:ascii="Times New Roman" w:hAnsi="Times New Roman"/>
        </w:rPr>
        <w:t xml:space="preserve"> new needs in relation to </w:t>
      </w:r>
      <w:r w:rsidR="00554262" w:rsidRPr="001D6905">
        <w:rPr>
          <w:rFonts w:ascii="Times New Roman" w:hAnsi="Times New Roman"/>
        </w:rPr>
        <w:t xml:space="preserve">their </w:t>
      </w:r>
      <w:r w:rsidRPr="001D6905">
        <w:rPr>
          <w:rFonts w:ascii="Times New Roman" w:hAnsi="Times New Roman"/>
        </w:rPr>
        <w:t>work on particular materials and that require library collaboration to support shared goals for disaster preparedness and mitigation.</w:t>
      </w:r>
    </w:p>
    <w:p w:rsidR="001832DB" w:rsidRPr="001D6905" w:rsidRDefault="001832DB" w:rsidP="00A96E5F">
      <w:pPr>
        <w:spacing w:line="480" w:lineRule="auto"/>
        <w:rPr>
          <w:rFonts w:ascii="Times New Roman" w:hAnsi="Times New Roman"/>
        </w:rPr>
      </w:pPr>
    </w:p>
    <w:p w:rsidR="00A96E5F" w:rsidRPr="00A96E5F" w:rsidRDefault="001832DB" w:rsidP="00A96E5F">
      <w:pPr>
        <w:spacing w:line="480" w:lineRule="auto"/>
        <w:rPr>
          <w:rFonts w:ascii="Times New Roman" w:hAnsi="Times New Roman"/>
        </w:rPr>
      </w:pPr>
      <w:r w:rsidRPr="001D6905">
        <w:rPr>
          <w:rFonts w:ascii="Times New Roman" w:hAnsi="Times New Roman"/>
        </w:rPr>
        <w:t xml:space="preserve">In addition to ongoing preparatory work, through sharing, disseminating, and preserving copies of materials, the digital library community </w:t>
      </w:r>
      <w:r w:rsidR="00B072F4" w:rsidRPr="001D6905">
        <w:rPr>
          <w:rFonts w:ascii="Times New Roman" w:hAnsi="Times New Roman"/>
        </w:rPr>
        <w:t>provides</w:t>
      </w:r>
      <w:r w:rsidR="00AE3CDB" w:rsidRPr="001D6905">
        <w:rPr>
          <w:rFonts w:ascii="Times New Roman" w:hAnsi="Times New Roman"/>
        </w:rPr>
        <w:t xml:space="preserve"> support</w:t>
      </w:r>
      <w:r w:rsidR="00B072F4" w:rsidRPr="001D6905">
        <w:rPr>
          <w:rFonts w:ascii="Times New Roman" w:hAnsi="Times New Roman"/>
        </w:rPr>
        <w:t xml:space="preserve"> for the full </w:t>
      </w:r>
      <w:r w:rsidR="00D0109B" w:rsidRPr="001D6905">
        <w:rPr>
          <w:rFonts w:ascii="Times New Roman" w:hAnsi="Times New Roman"/>
        </w:rPr>
        <w:t>spectrum of needs related to</w:t>
      </w:r>
      <w:r w:rsidR="00B072F4" w:rsidRPr="001D6905">
        <w:rPr>
          <w:rFonts w:ascii="Times New Roman" w:hAnsi="Times New Roman"/>
        </w:rPr>
        <w:t xml:space="preserve"> preparedness and mitigation. This includes support</w:t>
      </w:r>
      <w:r w:rsidR="00AE3CDB" w:rsidRPr="001D6905">
        <w:rPr>
          <w:rFonts w:ascii="Times New Roman" w:hAnsi="Times New Roman"/>
        </w:rPr>
        <w:t xml:space="preserve"> immediately following</w:t>
      </w:r>
      <w:r w:rsidRPr="001D6905">
        <w:rPr>
          <w:rFonts w:ascii="Times New Roman" w:hAnsi="Times New Roman"/>
        </w:rPr>
        <w:t xml:space="preserve"> disasters</w:t>
      </w:r>
      <w:r w:rsidR="00AE3CDB" w:rsidRPr="001D6905">
        <w:rPr>
          <w:rFonts w:ascii="Times New Roman" w:hAnsi="Times New Roman"/>
        </w:rPr>
        <w:t xml:space="preserve">, serving as a resource for the community </w:t>
      </w:r>
      <w:r w:rsidR="00B072F4" w:rsidRPr="001D6905">
        <w:rPr>
          <w:rFonts w:ascii="Times New Roman" w:hAnsi="Times New Roman"/>
        </w:rPr>
        <w:t xml:space="preserve">as a whole. </w:t>
      </w:r>
    </w:p>
    <w:p w:rsidR="00592780" w:rsidRDefault="00592780" w:rsidP="00A96E5F">
      <w:pPr>
        <w:spacing w:line="480" w:lineRule="auto"/>
        <w:rPr>
          <w:rFonts w:ascii="Times New Roman" w:hAnsi="Times New Roman"/>
          <w:b/>
        </w:rPr>
      </w:pPr>
    </w:p>
    <w:p w:rsidR="00AE3CDB" w:rsidRPr="00A96E5F" w:rsidRDefault="00F34CB4" w:rsidP="00A96E5F">
      <w:pPr>
        <w:spacing w:line="480" w:lineRule="auto"/>
        <w:rPr>
          <w:rFonts w:ascii="Times New Roman" w:hAnsi="Times New Roman"/>
          <w:b/>
        </w:rPr>
      </w:pPr>
      <w:r w:rsidRPr="001D6905">
        <w:rPr>
          <w:rFonts w:ascii="Times New Roman" w:hAnsi="Times New Roman"/>
          <w:b/>
        </w:rPr>
        <w:t>Digital Library Communities and</w:t>
      </w:r>
      <w:r w:rsidR="00D0109B" w:rsidRPr="001D6905">
        <w:rPr>
          <w:rFonts w:ascii="Times New Roman" w:hAnsi="Times New Roman"/>
          <w:b/>
        </w:rPr>
        <w:t xml:space="preserve"> Disaster </w:t>
      </w:r>
      <w:r w:rsidRPr="001D6905">
        <w:rPr>
          <w:rFonts w:ascii="Times New Roman" w:hAnsi="Times New Roman"/>
          <w:b/>
        </w:rPr>
        <w:t xml:space="preserve">Preparedness, </w:t>
      </w:r>
      <w:r w:rsidR="00D0109B" w:rsidRPr="001D6905">
        <w:rPr>
          <w:rFonts w:ascii="Times New Roman" w:hAnsi="Times New Roman"/>
          <w:b/>
        </w:rPr>
        <w:t>Response</w:t>
      </w:r>
      <w:r w:rsidR="000570A2">
        <w:rPr>
          <w:rFonts w:ascii="Times New Roman" w:hAnsi="Times New Roman"/>
          <w:b/>
        </w:rPr>
        <w:t>, and</w:t>
      </w:r>
      <w:r w:rsidRPr="001D6905">
        <w:rPr>
          <w:rFonts w:ascii="Times New Roman" w:hAnsi="Times New Roman"/>
          <w:b/>
        </w:rPr>
        <w:t xml:space="preserve"> Mitigation</w:t>
      </w:r>
    </w:p>
    <w:p w:rsidR="0093526D" w:rsidRPr="001D6905" w:rsidRDefault="00D0109B" w:rsidP="00A96E5F">
      <w:pPr>
        <w:spacing w:line="480" w:lineRule="auto"/>
        <w:ind w:firstLine="720"/>
        <w:rPr>
          <w:rFonts w:ascii="Times New Roman" w:hAnsi="Times New Roman"/>
        </w:rPr>
      </w:pPr>
      <w:r w:rsidRPr="001D6905">
        <w:rPr>
          <w:rFonts w:ascii="Times New Roman" w:hAnsi="Times New Roman"/>
        </w:rPr>
        <w:t>Immediately after the January 2010 earthquake in Haiti, the Federal Emergency Management Agency (FEMA) contacted the University of Florida</w:t>
      </w:r>
      <w:r w:rsidR="00D50BEA" w:rsidRPr="001D6905">
        <w:rPr>
          <w:rFonts w:ascii="Times New Roman" w:hAnsi="Times New Roman"/>
        </w:rPr>
        <w:t xml:space="preserve"> (UF)</w:t>
      </w:r>
      <w:r w:rsidRPr="001D6905">
        <w:rPr>
          <w:rFonts w:ascii="Times New Roman" w:hAnsi="Times New Roman"/>
        </w:rPr>
        <w:t xml:space="preserve"> </w:t>
      </w:r>
      <w:r w:rsidR="005367B4">
        <w:rPr>
          <w:rFonts w:ascii="Times New Roman" w:hAnsi="Times New Roman"/>
        </w:rPr>
        <w:t xml:space="preserve">George A. Smathers </w:t>
      </w:r>
      <w:r w:rsidRPr="001D6905">
        <w:rPr>
          <w:rFonts w:ascii="Times New Roman" w:hAnsi="Times New Roman"/>
        </w:rPr>
        <w:t xml:space="preserve">Libraries to request copies of topographical maps of Haiti not held elsewhere. FEMA needed access to the maps for their first responders to use in Haiti. The </w:t>
      </w:r>
      <w:r w:rsidR="00D50BEA" w:rsidRPr="001D6905">
        <w:rPr>
          <w:rFonts w:ascii="Times New Roman" w:hAnsi="Times New Roman"/>
        </w:rPr>
        <w:t>UF</w:t>
      </w:r>
      <w:r w:rsidRPr="001D6905">
        <w:rPr>
          <w:rFonts w:ascii="Times New Roman" w:hAnsi="Times New Roman"/>
        </w:rPr>
        <w:t xml:space="preserve"> Libraries immediately provided the maps and offered </w:t>
      </w:r>
      <w:r w:rsidR="00BF3895">
        <w:rPr>
          <w:rFonts w:ascii="Times New Roman" w:hAnsi="Times New Roman"/>
        </w:rPr>
        <w:t xml:space="preserve">to provide </w:t>
      </w:r>
      <w:r w:rsidRPr="001D6905">
        <w:rPr>
          <w:rFonts w:ascii="Times New Roman" w:hAnsi="Times New Roman"/>
        </w:rPr>
        <w:t xml:space="preserve">any </w:t>
      </w:r>
      <w:r w:rsidR="00BF3895">
        <w:rPr>
          <w:rFonts w:ascii="Times New Roman" w:hAnsi="Times New Roman"/>
        </w:rPr>
        <w:t xml:space="preserve">possible additional </w:t>
      </w:r>
      <w:r w:rsidRPr="001D6905">
        <w:rPr>
          <w:rFonts w:ascii="Times New Roman" w:hAnsi="Times New Roman"/>
        </w:rPr>
        <w:t xml:space="preserve">assistance. </w:t>
      </w:r>
    </w:p>
    <w:p w:rsidR="00113168" w:rsidRPr="001D6905" w:rsidRDefault="00D0109B" w:rsidP="00A96E5F">
      <w:pPr>
        <w:spacing w:line="480" w:lineRule="auto"/>
        <w:ind w:firstLine="720"/>
        <w:rPr>
          <w:rFonts w:ascii="Times New Roman" w:hAnsi="Times New Roman"/>
        </w:rPr>
      </w:pPr>
      <w:r w:rsidRPr="001D6905">
        <w:rPr>
          <w:rFonts w:ascii="Times New Roman" w:hAnsi="Times New Roman"/>
        </w:rPr>
        <w:t>The</w:t>
      </w:r>
      <w:r w:rsidR="00D50BEA" w:rsidRPr="001D6905">
        <w:rPr>
          <w:rFonts w:ascii="Times New Roman" w:hAnsi="Times New Roman"/>
        </w:rPr>
        <w:t xml:space="preserve"> UF Libraries</w:t>
      </w:r>
      <w:r w:rsidR="0093526D" w:rsidRPr="001D6905">
        <w:rPr>
          <w:rFonts w:ascii="Times New Roman" w:hAnsi="Times New Roman"/>
        </w:rPr>
        <w:t>’ holdings included</w:t>
      </w:r>
      <w:r w:rsidR="00D50BEA" w:rsidRPr="001D6905">
        <w:rPr>
          <w:rFonts w:ascii="Times New Roman" w:hAnsi="Times New Roman"/>
        </w:rPr>
        <w:t xml:space="preserve"> these maps in the physical and digital collections because the UF Libraries</w:t>
      </w:r>
      <w:r w:rsidRPr="001D6905">
        <w:rPr>
          <w:rFonts w:ascii="Times New Roman" w:hAnsi="Times New Roman"/>
        </w:rPr>
        <w:t xml:space="preserve"> </w:t>
      </w:r>
      <w:r w:rsidR="00D50BEA" w:rsidRPr="001D6905">
        <w:rPr>
          <w:rFonts w:ascii="Times New Roman" w:hAnsi="Times New Roman"/>
        </w:rPr>
        <w:t xml:space="preserve">have traditionally been a preservation partner for institutions </w:t>
      </w:r>
      <w:r w:rsidR="004647D9" w:rsidRPr="001D6905">
        <w:rPr>
          <w:rFonts w:ascii="Times New Roman" w:hAnsi="Times New Roman"/>
        </w:rPr>
        <w:t>throughout</w:t>
      </w:r>
      <w:r w:rsidR="00D50BEA" w:rsidRPr="001D6905">
        <w:rPr>
          <w:rFonts w:ascii="Times New Roman" w:hAnsi="Times New Roman"/>
        </w:rPr>
        <w:t xml:space="preserve"> the Caribbean. This role </w:t>
      </w:r>
      <w:r w:rsidR="00C31602" w:rsidRPr="001D6905">
        <w:rPr>
          <w:rFonts w:ascii="Times New Roman" w:hAnsi="Times New Roman"/>
        </w:rPr>
        <w:t xml:space="preserve">in the community </w:t>
      </w:r>
      <w:r w:rsidR="00D50BEA" w:rsidRPr="001D6905">
        <w:rPr>
          <w:rFonts w:ascii="Times New Roman" w:hAnsi="Times New Roman"/>
        </w:rPr>
        <w:t xml:space="preserve">emerged in part because of the UF Libraries’ location, which is landlocked in the middle of Florida. The location affords a degree of protection from hurricanes and </w:t>
      </w:r>
      <w:r w:rsidR="00AA3624" w:rsidRPr="001D6905">
        <w:rPr>
          <w:rFonts w:ascii="Times New Roman" w:hAnsi="Times New Roman"/>
        </w:rPr>
        <w:t xml:space="preserve">storms which are of greater concern when closer to the coast. The UF Libraries embraced the preservation role, preserving materials through local holdings in print, microfilm, and digital. </w:t>
      </w:r>
    </w:p>
    <w:p w:rsidR="00C91402" w:rsidRPr="001D6905" w:rsidRDefault="00113168" w:rsidP="00A96E5F">
      <w:pPr>
        <w:spacing w:line="480" w:lineRule="auto"/>
        <w:ind w:firstLine="720"/>
        <w:rPr>
          <w:rFonts w:ascii="Times New Roman" w:hAnsi="Times New Roman"/>
        </w:rPr>
      </w:pPr>
      <w:r w:rsidRPr="001D6905">
        <w:rPr>
          <w:rFonts w:ascii="Times New Roman" w:hAnsi="Times New Roman"/>
        </w:rPr>
        <w:lastRenderedPageBreak/>
        <w:t>The highly engaged and collaborative community to which the UF Libraries belong created the Digital Library of the Caribbean (dLOC) to</w:t>
      </w:r>
      <w:r w:rsidR="005E1E79">
        <w:rPr>
          <w:rFonts w:ascii="Times New Roman" w:hAnsi="Times New Roman"/>
        </w:rPr>
        <w:t xml:space="preserve"> meet </w:t>
      </w:r>
      <w:r w:rsidRPr="001D6905">
        <w:rPr>
          <w:rFonts w:ascii="Times New Roman" w:hAnsi="Times New Roman"/>
        </w:rPr>
        <w:t xml:space="preserve">shared preservation and access needs.  </w:t>
      </w:r>
      <w:r w:rsidR="00E95F02" w:rsidRPr="001D6905">
        <w:rPr>
          <w:rFonts w:ascii="Times New Roman" w:hAnsi="Times New Roman"/>
        </w:rPr>
        <w:t>In dLOC,</w:t>
      </w:r>
      <w:r w:rsidR="001B4446" w:rsidRPr="001D6905">
        <w:rPr>
          <w:rFonts w:ascii="Times New Roman" w:hAnsi="Times New Roman"/>
        </w:rPr>
        <w:t xml:space="preserve"> the UF Libraries serve as the technical </w:t>
      </w:r>
      <w:r w:rsidR="00E95F02" w:rsidRPr="001D6905">
        <w:rPr>
          <w:rFonts w:ascii="Times New Roman" w:hAnsi="Times New Roman"/>
        </w:rPr>
        <w:t>partner supporting the computer servers, software applications, and technical needs for digital preservation to support the community</w:t>
      </w:r>
      <w:r w:rsidR="001B4446" w:rsidRPr="001D6905">
        <w:rPr>
          <w:rFonts w:ascii="Times New Roman" w:hAnsi="Times New Roman"/>
        </w:rPr>
        <w:t xml:space="preserve">. </w:t>
      </w:r>
      <w:r w:rsidR="001A31C2" w:rsidRPr="001D6905">
        <w:rPr>
          <w:rFonts w:ascii="Times New Roman" w:hAnsi="Times New Roman"/>
        </w:rPr>
        <w:t>In a</w:t>
      </w:r>
      <w:r w:rsidR="001A31C2" w:rsidRPr="005E1E79">
        <w:rPr>
          <w:rFonts w:ascii="Times New Roman" w:hAnsi="Times New Roman"/>
        </w:rPr>
        <w:t>ddition to the UF Libraries, the Florida International University (FIU) Libraries serve as the administ</w:t>
      </w:r>
      <w:r w:rsidR="00BE3F54">
        <w:rPr>
          <w:rFonts w:ascii="Times New Roman" w:hAnsi="Times New Roman"/>
        </w:rPr>
        <w:t xml:space="preserve">rative host, and dLOC has over </w:t>
      </w:r>
      <w:r w:rsidR="00E152FB">
        <w:rPr>
          <w:rFonts w:ascii="Times New Roman" w:hAnsi="Times New Roman"/>
        </w:rPr>
        <w:t>25</w:t>
      </w:r>
      <w:r w:rsidR="001A31C2" w:rsidRPr="005E1E79">
        <w:rPr>
          <w:rFonts w:ascii="Times New Roman" w:hAnsi="Times New Roman"/>
        </w:rPr>
        <w:t xml:space="preserve"> additional partners. The partners “work together to preserve and provide access to enhanced electronic access t</w:t>
      </w:r>
      <w:r w:rsidR="001A31C2" w:rsidRPr="001D6905">
        <w:rPr>
          <w:rFonts w:ascii="Times New Roman" w:hAnsi="Times New Roman"/>
        </w:rPr>
        <w:t>o cultural, historical, legal, governmental, and research materials in a common web space with a multilingual interface” (</w:t>
      </w:r>
      <w:r w:rsidR="001A31C2" w:rsidRPr="001D6905">
        <w:rPr>
          <w:rFonts w:ascii="Times New Roman" w:hAnsi="Times New Roman"/>
          <w:i/>
        </w:rPr>
        <w:t>dLOC Fact Sheet</w:t>
      </w:r>
      <w:r w:rsidR="001A31C2" w:rsidRPr="001D6905">
        <w:rPr>
          <w:rFonts w:ascii="Times New Roman" w:hAnsi="Times New Roman"/>
        </w:rPr>
        <w:t xml:space="preserve">). </w:t>
      </w:r>
    </w:p>
    <w:p w:rsidR="0027105D" w:rsidRPr="001D6905" w:rsidRDefault="00C91402" w:rsidP="00A96E5F">
      <w:pPr>
        <w:spacing w:line="480" w:lineRule="auto"/>
        <w:ind w:firstLine="720"/>
        <w:rPr>
          <w:rFonts w:ascii="Times New Roman" w:hAnsi="Times New Roman"/>
        </w:rPr>
      </w:pPr>
      <w:r w:rsidRPr="001D6905">
        <w:rPr>
          <w:rFonts w:ascii="Times New Roman" w:hAnsi="Times New Roman"/>
        </w:rPr>
        <w:t xml:space="preserve">In addition to serving first responders and immediate needs following a disaster, digital library communities can provide mitigation for prior disasters. For instance, the </w:t>
      </w:r>
      <w:r w:rsidRPr="001D6905">
        <w:rPr>
          <w:rFonts w:ascii="Times New Roman" w:hAnsi="Times New Roman"/>
          <w:i/>
        </w:rPr>
        <w:t>Windward Islands’ Opinion</w:t>
      </w:r>
      <w:r w:rsidRPr="001D6905">
        <w:rPr>
          <w:rFonts w:ascii="Times New Roman" w:hAnsi="Times New Roman"/>
        </w:rPr>
        <w:t xml:space="preserve"> is a culturally and historically significant publication from St. Maarten. The archives of the </w:t>
      </w:r>
      <w:r w:rsidRPr="001D6905">
        <w:rPr>
          <w:rFonts w:ascii="Times New Roman" w:hAnsi="Times New Roman"/>
          <w:i/>
        </w:rPr>
        <w:t xml:space="preserve">Windward Islands’ Opinion </w:t>
      </w:r>
      <w:r w:rsidRPr="001D6905">
        <w:rPr>
          <w:rFonts w:ascii="Times New Roman" w:hAnsi="Times New Roman"/>
        </w:rPr>
        <w:t xml:space="preserve">were preserved in paper in the archives in St. Maarten. The print copies of the </w:t>
      </w:r>
      <w:r w:rsidRPr="001D6905">
        <w:rPr>
          <w:rFonts w:ascii="Times New Roman" w:hAnsi="Times New Roman"/>
          <w:i/>
        </w:rPr>
        <w:t>Windward Islands’ Opinion</w:t>
      </w:r>
      <w:r w:rsidRPr="001D6905">
        <w:rPr>
          <w:rFonts w:ascii="Times New Roman" w:hAnsi="Times New Roman"/>
        </w:rPr>
        <w:t xml:space="preserve"> were lost to a fire in </w:t>
      </w:r>
      <w:r w:rsidR="00BF3895">
        <w:rPr>
          <w:rFonts w:ascii="Times New Roman" w:hAnsi="Times New Roman"/>
        </w:rPr>
        <w:t xml:space="preserve">the publisher’s collection </w:t>
      </w:r>
      <w:r w:rsidRPr="001D6905">
        <w:rPr>
          <w:rFonts w:ascii="Times New Roman" w:hAnsi="Times New Roman"/>
        </w:rPr>
        <w:t>in St. Maarten.</w:t>
      </w:r>
      <w:r w:rsidR="00033C79" w:rsidRPr="001D6905">
        <w:rPr>
          <w:rFonts w:ascii="Times New Roman" w:hAnsi="Times New Roman"/>
        </w:rPr>
        <w:t xml:space="preserve"> Fortunately, </w:t>
      </w:r>
      <w:r w:rsidR="00844484" w:rsidRPr="001D6905">
        <w:rPr>
          <w:rFonts w:ascii="Times New Roman" w:hAnsi="Times New Roman"/>
        </w:rPr>
        <w:t xml:space="preserve">the existing library communities had ensured </w:t>
      </w:r>
      <w:r w:rsidR="00033C79" w:rsidRPr="001D6905">
        <w:rPr>
          <w:rFonts w:ascii="Times New Roman" w:hAnsi="Times New Roman"/>
        </w:rPr>
        <w:t xml:space="preserve">the </w:t>
      </w:r>
      <w:r w:rsidR="00033C79" w:rsidRPr="001D6905">
        <w:rPr>
          <w:rFonts w:ascii="Times New Roman" w:hAnsi="Times New Roman"/>
          <w:i/>
        </w:rPr>
        <w:t xml:space="preserve">Windward Islands’ Opinion </w:t>
      </w:r>
      <w:r w:rsidR="00033C79" w:rsidRPr="001D6905">
        <w:rPr>
          <w:rFonts w:ascii="Times New Roman" w:hAnsi="Times New Roman"/>
        </w:rPr>
        <w:t>was</w:t>
      </w:r>
      <w:r w:rsidR="00844484" w:rsidRPr="001D6905">
        <w:rPr>
          <w:rFonts w:ascii="Times New Roman" w:hAnsi="Times New Roman"/>
        </w:rPr>
        <w:t xml:space="preserve"> preserved through</w:t>
      </w:r>
      <w:r w:rsidR="00033C79" w:rsidRPr="001D6905">
        <w:rPr>
          <w:rFonts w:ascii="Times New Roman" w:hAnsi="Times New Roman"/>
        </w:rPr>
        <w:t xml:space="preserve"> microfilm</w:t>
      </w:r>
      <w:r w:rsidR="00844484" w:rsidRPr="001D6905">
        <w:rPr>
          <w:rFonts w:ascii="Times New Roman" w:hAnsi="Times New Roman"/>
        </w:rPr>
        <w:t>. The microfilming was conducted</w:t>
      </w:r>
      <w:r w:rsidR="00033C79" w:rsidRPr="001D6905">
        <w:rPr>
          <w:rFonts w:ascii="Times New Roman" w:hAnsi="Times New Roman"/>
        </w:rPr>
        <w:t xml:space="preserve"> by the UF</w:t>
      </w:r>
      <w:r w:rsidR="00844484" w:rsidRPr="001D6905">
        <w:rPr>
          <w:rFonts w:ascii="Times New Roman" w:hAnsi="Times New Roman"/>
        </w:rPr>
        <w:t xml:space="preserve"> Libraries, with copies of the film</w:t>
      </w:r>
      <w:r w:rsidR="00033C79" w:rsidRPr="001D6905">
        <w:rPr>
          <w:rFonts w:ascii="Times New Roman" w:hAnsi="Times New Roman"/>
        </w:rPr>
        <w:t xml:space="preserve"> held by </w:t>
      </w:r>
      <w:r w:rsidR="00844484" w:rsidRPr="001D6905">
        <w:rPr>
          <w:rFonts w:ascii="Times New Roman" w:hAnsi="Times New Roman"/>
        </w:rPr>
        <w:t xml:space="preserve">both </w:t>
      </w:r>
      <w:r w:rsidR="00033C79" w:rsidRPr="001D6905">
        <w:rPr>
          <w:rFonts w:ascii="Times New Roman" w:hAnsi="Times New Roman"/>
        </w:rPr>
        <w:t>St. Maarten and the UF Libraries.</w:t>
      </w:r>
      <w:r w:rsidR="006F3A80" w:rsidRPr="001D6905">
        <w:rPr>
          <w:rFonts w:ascii="Times New Roman" w:hAnsi="Times New Roman"/>
        </w:rPr>
        <w:t xml:space="preserve"> While preserved, microfilm is a poor medium for local access and a very problematic medium for general access because of the need to physically </w:t>
      </w:r>
      <w:r w:rsidR="000412BC">
        <w:rPr>
          <w:rFonts w:ascii="Times New Roman" w:hAnsi="Times New Roman"/>
        </w:rPr>
        <w:t>use</w:t>
      </w:r>
      <w:r w:rsidR="006F3A80" w:rsidRPr="001D6905">
        <w:rPr>
          <w:rFonts w:ascii="Times New Roman" w:hAnsi="Times New Roman"/>
        </w:rPr>
        <w:t xml:space="preserve"> the film and because of the need </w:t>
      </w:r>
      <w:r w:rsidR="000412BC">
        <w:rPr>
          <w:rFonts w:ascii="Times New Roman" w:hAnsi="Times New Roman"/>
        </w:rPr>
        <w:t>to use</w:t>
      </w:r>
      <w:r w:rsidR="006F3A80" w:rsidRPr="001D6905">
        <w:rPr>
          <w:rFonts w:ascii="Times New Roman" w:hAnsi="Times New Roman"/>
        </w:rPr>
        <w:t xml:space="preserve"> a microfilm reader, which is specialized and not casually available equipment. </w:t>
      </w:r>
      <w:r w:rsidR="00657BAD" w:rsidRPr="001D6905">
        <w:rPr>
          <w:rFonts w:ascii="Times New Roman" w:hAnsi="Times New Roman"/>
        </w:rPr>
        <w:t xml:space="preserve">Because of the historical significance of the </w:t>
      </w:r>
      <w:r w:rsidR="00657BAD" w:rsidRPr="001D6905">
        <w:rPr>
          <w:rFonts w:ascii="Times New Roman" w:hAnsi="Times New Roman"/>
          <w:i/>
        </w:rPr>
        <w:t xml:space="preserve">Windward Islands’ Opinion, </w:t>
      </w:r>
      <w:r w:rsidR="00657BAD" w:rsidRPr="001D6905">
        <w:rPr>
          <w:rFonts w:ascii="Times New Roman" w:hAnsi="Times New Roman"/>
        </w:rPr>
        <w:t xml:space="preserve">it was selected for digitization through dLOC’s Caribbean Newspaper Digital Library project. </w:t>
      </w:r>
      <w:r w:rsidR="00487B34" w:rsidRPr="001D6905">
        <w:rPr>
          <w:rFonts w:ascii="Times New Roman" w:hAnsi="Times New Roman"/>
        </w:rPr>
        <w:t xml:space="preserve">By digitizing this title, the digital </w:t>
      </w:r>
      <w:r w:rsidR="00487B34" w:rsidRPr="001D6905">
        <w:rPr>
          <w:rFonts w:ascii="Times New Roman" w:hAnsi="Times New Roman"/>
        </w:rPr>
        <w:lastRenderedPageBreak/>
        <w:t xml:space="preserve">library community is mitigating the loss of the print materials and supporting the overall needs for preservation and access through free and open access online. </w:t>
      </w:r>
    </w:p>
    <w:p w:rsidR="005412DE" w:rsidRPr="001D6905" w:rsidRDefault="00662520" w:rsidP="00A96E5F">
      <w:pPr>
        <w:spacing w:line="480" w:lineRule="auto"/>
        <w:ind w:firstLine="720"/>
        <w:rPr>
          <w:rFonts w:ascii="Times New Roman" w:hAnsi="Times New Roman"/>
        </w:rPr>
      </w:pPr>
      <w:r>
        <w:rPr>
          <w:rFonts w:ascii="Times New Roman" w:hAnsi="Times New Roman"/>
        </w:rPr>
        <w:t>Now</w:t>
      </w:r>
      <w:r w:rsidR="006E20C2" w:rsidRPr="001D6905">
        <w:rPr>
          <w:rFonts w:ascii="Times New Roman" w:hAnsi="Times New Roman"/>
        </w:rPr>
        <w:t xml:space="preserve"> digitized, the </w:t>
      </w:r>
      <w:r w:rsidR="006E20C2" w:rsidRPr="001D6905">
        <w:rPr>
          <w:rFonts w:ascii="Times New Roman" w:hAnsi="Times New Roman"/>
          <w:i/>
        </w:rPr>
        <w:t xml:space="preserve">Windward Islands’ Opinion </w:t>
      </w:r>
      <w:r>
        <w:rPr>
          <w:rFonts w:ascii="Times New Roman" w:hAnsi="Times New Roman"/>
        </w:rPr>
        <w:t>is</w:t>
      </w:r>
      <w:r w:rsidR="006E20C2" w:rsidRPr="001D6905">
        <w:rPr>
          <w:rFonts w:ascii="Times New Roman" w:hAnsi="Times New Roman"/>
        </w:rPr>
        <w:t xml:space="preserve"> available online for anyone from anywhere using a computer with internet access. </w:t>
      </w:r>
      <w:r w:rsidR="00105FF9" w:rsidRPr="001D6905">
        <w:rPr>
          <w:rFonts w:ascii="Times New Roman" w:hAnsi="Times New Roman"/>
        </w:rPr>
        <w:t>T</w:t>
      </w:r>
      <w:r w:rsidR="0027105D" w:rsidRPr="001D6905">
        <w:rPr>
          <w:rFonts w:ascii="Times New Roman" w:hAnsi="Times New Roman"/>
        </w:rPr>
        <w:t xml:space="preserve">his </w:t>
      </w:r>
      <w:r w:rsidR="00105FF9" w:rsidRPr="001D6905">
        <w:rPr>
          <w:rFonts w:ascii="Times New Roman" w:hAnsi="Times New Roman"/>
        </w:rPr>
        <w:t>free</w:t>
      </w:r>
      <w:r w:rsidR="0027105D" w:rsidRPr="001D6905">
        <w:rPr>
          <w:rFonts w:ascii="Times New Roman" w:hAnsi="Times New Roman"/>
        </w:rPr>
        <w:t xml:space="preserve"> and easy access</w:t>
      </w:r>
      <w:r w:rsidR="00105FF9" w:rsidRPr="001D6905">
        <w:rPr>
          <w:rFonts w:ascii="Times New Roman" w:hAnsi="Times New Roman"/>
        </w:rPr>
        <w:t xml:space="preserve"> is necessary to provide full support for the materials. T</w:t>
      </w:r>
      <w:r w:rsidR="0027105D" w:rsidRPr="001D6905">
        <w:rPr>
          <w:rFonts w:ascii="Times New Roman" w:hAnsi="Times New Roman"/>
        </w:rPr>
        <w:t xml:space="preserve">he materials themselves are preserved </w:t>
      </w:r>
      <w:r w:rsidR="00105FF9" w:rsidRPr="001D6905">
        <w:rPr>
          <w:rFonts w:ascii="Times New Roman" w:hAnsi="Times New Roman"/>
        </w:rPr>
        <w:t xml:space="preserve">already on microfilm, </w:t>
      </w:r>
      <w:r w:rsidR="0027105D" w:rsidRPr="001D6905">
        <w:rPr>
          <w:rFonts w:ascii="Times New Roman" w:hAnsi="Times New Roman"/>
        </w:rPr>
        <w:t xml:space="preserve">but the difficulties with </w:t>
      </w:r>
      <w:r w:rsidR="00105FF9" w:rsidRPr="001D6905">
        <w:rPr>
          <w:rFonts w:ascii="Times New Roman" w:hAnsi="Times New Roman"/>
        </w:rPr>
        <w:t xml:space="preserve">microfilm inhibit both preservation as an ongoing process and </w:t>
      </w:r>
      <w:r w:rsidR="0027105D" w:rsidRPr="001D6905">
        <w:rPr>
          <w:rFonts w:ascii="Times New Roman" w:hAnsi="Times New Roman"/>
        </w:rPr>
        <w:t>access</w:t>
      </w:r>
      <w:r w:rsidR="00105FF9" w:rsidRPr="001D6905">
        <w:rPr>
          <w:rFonts w:ascii="Times New Roman" w:hAnsi="Times New Roman"/>
        </w:rPr>
        <w:t>. Further, the limited access hinders</w:t>
      </w:r>
      <w:r w:rsidR="0027105D" w:rsidRPr="001D6905">
        <w:rPr>
          <w:rFonts w:ascii="Times New Roman" w:hAnsi="Times New Roman"/>
        </w:rPr>
        <w:t xml:space="preserve"> </w:t>
      </w:r>
      <w:r w:rsidR="00105FF9" w:rsidRPr="001D6905">
        <w:rPr>
          <w:rFonts w:ascii="Times New Roman" w:hAnsi="Times New Roman"/>
        </w:rPr>
        <w:t>the</w:t>
      </w:r>
      <w:r w:rsidR="0027105D" w:rsidRPr="001D6905">
        <w:rPr>
          <w:rFonts w:ascii="Times New Roman" w:hAnsi="Times New Roman"/>
        </w:rPr>
        <w:t xml:space="preserve"> preservation of contextual materials and information. In fact, OCLC’s </w:t>
      </w:r>
      <w:proofErr w:type="spellStart"/>
      <w:r w:rsidR="0027105D" w:rsidRPr="001D6905">
        <w:rPr>
          <w:rFonts w:ascii="Times New Roman" w:hAnsi="Times New Roman"/>
        </w:rPr>
        <w:t>WorldCat</w:t>
      </w:r>
      <w:proofErr w:type="spellEnd"/>
      <w:r w:rsidR="0027105D" w:rsidRPr="001D6905">
        <w:rPr>
          <w:rFonts w:ascii="Times New Roman" w:hAnsi="Times New Roman"/>
        </w:rPr>
        <w:t xml:space="preserve"> lists the UF Libraries as the only holding institution for </w:t>
      </w:r>
      <w:r w:rsidR="004E4622" w:rsidRPr="001D6905">
        <w:rPr>
          <w:rFonts w:ascii="Times New Roman" w:hAnsi="Times New Roman"/>
        </w:rPr>
        <w:t xml:space="preserve">the </w:t>
      </w:r>
      <w:r w:rsidR="0027105D" w:rsidRPr="001D6905">
        <w:rPr>
          <w:rFonts w:ascii="Times New Roman" w:hAnsi="Times New Roman"/>
          <w:i/>
        </w:rPr>
        <w:t>Windward Islands’ Opinion</w:t>
      </w:r>
      <w:r w:rsidR="0059593D" w:rsidRPr="001D6905">
        <w:rPr>
          <w:rFonts w:ascii="Times New Roman" w:hAnsi="Times New Roman"/>
          <w:i/>
        </w:rPr>
        <w:t xml:space="preserve"> </w:t>
      </w:r>
      <w:r w:rsidR="0059593D" w:rsidRPr="001D6905">
        <w:rPr>
          <w:rFonts w:ascii="Times New Roman" w:hAnsi="Times New Roman"/>
        </w:rPr>
        <w:t>(</w:t>
      </w:r>
      <w:proofErr w:type="spellStart"/>
      <w:r w:rsidR="0059593D" w:rsidRPr="001D6905">
        <w:rPr>
          <w:rFonts w:ascii="Times New Roman" w:hAnsi="Times New Roman"/>
        </w:rPr>
        <w:t>WorldCat</w:t>
      </w:r>
      <w:proofErr w:type="spellEnd"/>
      <w:r w:rsidR="0059593D" w:rsidRPr="001D6905">
        <w:rPr>
          <w:rFonts w:ascii="Times New Roman" w:hAnsi="Times New Roman"/>
        </w:rPr>
        <w:t>)</w:t>
      </w:r>
      <w:r w:rsidR="00105FF9" w:rsidRPr="001D6905">
        <w:rPr>
          <w:rFonts w:ascii="Times New Roman" w:hAnsi="Times New Roman"/>
        </w:rPr>
        <w:t>.</w:t>
      </w:r>
      <w:r w:rsidR="00105FF9" w:rsidRPr="001D6905">
        <w:rPr>
          <w:rFonts w:ascii="Times New Roman" w:hAnsi="Times New Roman"/>
          <w:i/>
        </w:rPr>
        <w:t xml:space="preserve"> </w:t>
      </w:r>
      <w:r w:rsidR="004E4622" w:rsidRPr="001D6905">
        <w:rPr>
          <w:rFonts w:ascii="Times New Roman" w:hAnsi="Times New Roman"/>
        </w:rPr>
        <w:t xml:space="preserve">Using a general web search for the </w:t>
      </w:r>
      <w:r w:rsidR="004E4622" w:rsidRPr="001D6905">
        <w:rPr>
          <w:rFonts w:ascii="Times New Roman" w:hAnsi="Times New Roman"/>
          <w:i/>
        </w:rPr>
        <w:t xml:space="preserve">Windward Islands’ Opinion </w:t>
      </w:r>
      <w:r w:rsidR="004E4622" w:rsidRPr="001D6905">
        <w:rPr>
          <w:rFonts w:ascii="Times New Roman" w:hAnsi="Times New Roman"/>
        </w:rPr>
        <w:t xml:space="preserve">generates insufficient results in terms of quantity and quality of information given the significance of this title. </w:t>
      </w:r>
      <w:r w:rsidR="00C60EF8" w:rsidRPr="001D6905">
        <w:rPr>
          <w:rFonts w:ascii="Times New Roman" w:hAnsi="Times New Roman"/>
        </w:rPr>
        <w:t xml:space="preserve">The digital library community is currently digitizing this title to mitigate the prior disaster with the loss of the printed materials. The community is simultaneously working to mitigate the future disaster that would take place if the information and materials providing historical context for the title were to be lost. This loss could occur simply from the lack of recognition of their importance, which could occur as a result of a lack of access to the primary materials. </w:t>
      </w:r>
      <w:r w:rsidR="00136DEB">
        <w:rPr>
          <w:rFonts w:ascii="Times New Roman" w:hAnsi="Times New Roman"/>
        </w:rPr>
        <w:t>P</w:t>
      </w:r>
      <w:r w:rsidR="0059593D" w:rsidRPr="001D6905">
        <w:rPr>
          <w:rFonts w:ascii="Times New Roman" w:hAnsi="Times New Roman"/>
        </w:rPr>
        <w:t xml:space="preserve">artners in dLOC have already noted that Wikipedia currently lacks a listing for the </w:t>
      </w:r>
      <w:r w:rsidR="0059593D" w:rsidRPr="001D6905">
        <w:rPr>
          <w:rFonts w:ascii="Times New Roman" w:hAnsi="Times New Roman"/>
          <w:i/>
        </w:rPr>
        <w:t xml:space="preserve">Windward Islands’ Opinion </w:t>
      </w:r>
      <w:r w:rsidR="0059593D" w:rsidRPr="001D6905">
        <w:rPr>
          <w:rFonts w:ascii="Times New Roman" w:hAnsi="Times New Roman"/>
        </w:rPr>
        <w:t>and the community is making plans to create a Wikipedia entry once the materials are digitized to provide the prerequisite primary documentation</w:t>
      </w:r>
      <w:r w:rsidR="0059593D" w:rsidRPr="00747477">
        <w:rPr>
          <w:rFonts w:ascii="Times New Roman" w:hAnsi="Times New Roman"/>
        </w:rPr>
        <w:t>.</w:t>
      </w:r>
      <w:r w:rsidR="0059593D" w:rsidRPr="001D6905">
        <w:rPr>
          <w:rFonts w:ascii="Times New Roman" w:hAnsi="Times New Roman"/>
          <w:i/>
        </w:rPr>
        <w:t xml:space="preserve"> </w:t>
      </w:r>
    </w:p>
    <w:p w:rsidR="005412DE" w:rsidRPr="001D6905" w:rsidRDefault="00CD23F0" w:rsidP="00A96E5F">
      <w:pPr>
        <w:spacing w:line="480" w:lineRule="auto"/>
        <w:ind w:firstLine="720"/>
        <w:rPr>
          <w:rFonts w:ascii="Times New Roman" w:hAnsi="Times New Roman"/>
        </w:rPr>
      </w:pPr>
      <w:r w:rsidRPr="001D6905">
        <w:rPr>
          <w:rFonts w:ascii="Times New Roman" w:hAnsi="Times New Roman"/>
        </w:rPr>
        <w:t>After the 2010 earthquake in Haiti, t</w:t>
      </w:r>
      <w:r w:rsidR="005412DE" w:rsidRPr="001D6905">
        <w:rPr>
          <w:rFonts w:ascii="Times New Roman" w:hAnsi="Times New Roman"/>
        </w:rPr>
        <w:t xml:space="preserve">he </w:t>
      </w:r>
      <w:r w:rsidR="005412DE" w:rsidRPr="001D6905">
        <w:rPr>
          <w:rFonts w:ascii="Times New Roman" w:hAnsi="Times New Roman"/>
          <w:bCs/>
          <w:iCs/>
        </w:rPr>
        <w:t>Law Library Microform Consortium (LLMC)</w:t>
      </w:r>
      <w:r w:rsidRPr="001D6905">
        <w:rPr>
          <w:rFonts w:ascii="Times New Roman" w:hAnsi="Times New Roman"/>
        </w:rPr>
        <w:t xml:space="preserve"> called on its existing community to work together to provide disaster mitigation and generate new resources for future disaster preparedness. </w:t>
      </w:r>
      <w:r w:rsidR="005412DE" w:rsidRPr="001D6905">
        <w:rPr>
          <w:rFonts w:ascii="Times New Roman" w:hAnsi="Times New Roman"/>
        </w:rPr>
        <w:t xml:space="preserve"> </w:t>
      </w:r>
      <w:r w:rsidRPr="001D6905">
        <w:rPr>
          <w:rFonts w:ascii="Times New Roman" w:hAnsi="Times New Roman"/>
        </w:rPr>
        <w:t xml:space="preserve">LLMC is </w:t>
      </w:r>
      <w:r w:rsidR="005412DE" w:rsidRPr="001D6905">
        <w:rPr>
          <w:rFonts w:ascii="Times New Roman" w:hAnsi="Times New Roman"/>
        </w:rPr>
        <w:t xml:space="preserve">a non-profit </w:t>
      </w:r>
      <w:r w:rsidR="005412DE" w:rsidRPr="001D6905">
        <w:rPr>
          <w:rFonts w:ascii="Times New Roman" w:hAnsi="Times New Roman"/>
        </w:rPr>
        <w:lastRenderedPageBreak/>
        <w:t xml:space="preserve">cooperative of </w:t>
      </w:r>
      <w:r w:rsidRPr="001D6905">
        <w:rPr>
          <w:rFonts w:ascii="Times New Roman" w:hAnsi="Times New Roman"/>
        </w:rPr>
        <w:t>libraries that</w:t>
      </w:r>
      <w:r w:rsidR="005412DE" w:rsidRPr="001D6905">
        <w:rPr>
          <w:rFonts w:ascii="Times New Roman" w:hAnsi="Times New Roman"/>
        </w:rPr>
        <w:t xml:space="preserve"> is dedicated to </w:t>
      </w:r>
      <w:r w:rsidRPr="001D6905">
        <w:rPr>
          <w:rFonts w:ascii="Times New Roman" w:hAnsi="Times New Roman"/>
        </w:rPr>
        <w:t>two core</w:t>
      </w:r>
      <w:r w:rsidR="00A73B60">
        <w:rPr>
          <w:rFonts w:ascii="Times New Roman" w:hAnsi="Times New Roman"/>
        </w:rPr>
        <w:t xml:space="preserve"> goals. The first is p</w:t>
      </w:r>
      <w:r w:rsidR="005412DE" w:rsidRPr="001D6905">
        <w:rPr>
          <w:rFonts w:ascii="Times New Roman" w:hAnsi="Times New Roman"/>
        </w:rPr>
        <w:t xml:space="preserve">reserving legal titles and government documents, and </w:t>
      </w:r>
      <w:r w:rsidR="00A73B60">
        <w:rPr>
          <w:rFonts w:ascii="Times New Roman" w:hAnsi="Times New Roman"/>
        </w:rPr>
        <w:t>the second is making the</w:t>
      </w:r>
      <w:r w:rsidR="005412DE" w:rsidRPr="001D6905">
        <w:rPr>
          <w:rFonts w:ascii="Times New Roman" w:hAnsi="Times New Roman"/>
        </w:rPr>
        <w:t xml:space="preserve"> co</w:t>
      </w:r>
      <w:r w:rsidRPr="001D6905">
        <w:rPr>
          <w:rFonts w:ascii="Times New Roman" w:hAnsi="Times New Roman"/>
        </w:rPr>
        <w:t>ntent accessib</w:t>
      </w:r>
      <w:r w:rsidR="00A73B60">
        <w:rPr>
          <w:rFonts w:ascii="Times New Roman" w:hAnsi="Times New Roman"/>
        </w:rPr>
        <w:t>le and searchable</w:t>
      </w:r>
      <w:r w:rsidRPr="001D6905">
        <w:rPr>
          <w:rFonts w:ascii="Times New Roman" w:hAnsi="Times New Roman"/>
        </w:rPr>
        <w:t>.</w:t>
      </w:r>
      <w:r w:rsidR="005412DE" w:rsidRPr="001D6905">
        <w:rPr>
          <w:rFonts w:ascii="Times New Roman" w:hAnsi="Times New Roman"/>
        </w:rPr>
        <w:t xml:space="preserve"> LLMC began its work using microform and has since add</w:t>
      </w:r>
      <w:r w:rsidR="00D93ECD" w:rsidRPr="001D6905">
        <w:rPr>
          <w:rFonts w:ascii="Times New Roman" w:hAnsi="Times New Roman"/>
        </w:rPr>
        <w:t>ed digital technologies. In 2010</w:t>
      </w:r>
      <w:r w:rsidR="005412DE" w:rsidRPr="001D6905">
        <w:rPr>
          <w:rFonts w:ascii="Times New Roman" w:hAnsi="Times New Roman"/>
        </w:rPr>
        <w:t xml:space="preserve">, LLMC </w:t>
      </w:r>
      <w:r w:rsidR="00D93ECD" w:rsidRPr="001D6905">
        <w:rPr>
          <w:rFonts w:ascii="Times New Roman" w:hAnsi="Times New Roman"/>
        </w:rPr>
        <w:t>responded to the earthquake in Haiti by bringing together many partners to establish</w:t>
      </w:r>
      <w:r w:rsidR="005412DE" w:rsidRPr="001D6905">
        <w:rPr>
          <w:rFonts w:ascii="Times New Roman" w:hAnsi="Times New Roman"/>
        </w:rPr>
        <w:t xml:space="preserve"> the </w:t>
      </w:r>
      <w:r w:rsidR="005412DE" w:rsidRPr="001D6905">
        <w:rPr>
          <w:rFonts w:ascii="Times New Roman" w:hAnsi="Times New Roman"/>
          <w:iCs/>
        </w:rPr>
        <w:t>LLMC</w:t>
      </w:r>
      <w:r w:rsidR="005412DE" w:rsidRPr="001D6905">
        <w:rPr>
          <w:rFonts w:ascii="Times New Roman" w:hAnsi="Times New Roman"/>
          <w:i/>
          <w:iCs/>
        </w:rPr>
        <w:t xml:space="preserve"> Haiti Legal Patrimony Project</w:t>
      </w:r>
      <w:r w:rsidR="005412DE" w:rsidRPr="001D6905">
        <w:rPr>
          <w:rFonts w:ascii="Times New Roman" w:hAnsi="Times New Roman"/>
        </w:rPr>
        <w:t xml:space="preserve">. The </w:t>
      </w:r>
      <w:r w:rsidR="005412DE" w:rsidRPr="001D6905">
        <w:rPr>
          <w:rFonts w:ascii="Times New Roman" w:hAnsi="Times New Roman"/>
          <w:iCs/>
        </w:rPr>
        <w:t xml:space="preserve">LLMC </w:t>
      </w:r>
      <w:r w:rsidR="005412DE" w:rsidRPr="001D6905">
        <w:rPr>
          <w:rFonts w:ascii="Times New Roman" w:hAnsi="Times New Roman"/>
          <w:i/>
          <w:iCs/>
        </w:rPr>
        <w:t xml:space="preserve">Haiti Legal Patrimony Project </w:t>
      </w:r>
      <w:r w:rsidR="005412DE" w:rsidRPr="001D6905">
        <w:rPr>
          <w:rFonts w:ascii="Times New Roman" w:hAnsi="Times New Roman"/>
        </w:rPr>
        <w:t xml:space="preserve">combines the strengths of collections and resources in many law libraries around the world, locating, digitizing, and providing central access to these resources. All materials for the </w:t>
      </w:r>
      <w:r w:rsidR="005412DE" w:rsidRPr="001D6905">
        <w:rPr>
          <w:rFonts w:ascii="Times New Roman" w:hAnsi="Times New Roman"/>
          <w:iCs/>
        </w:rPr>
        <w:t xml:space="preserve">LLMC </w:t>
      </w:r>
      <w:r w:rsidR="005412DE" w:rsidRPr="001D6905">
        <w:rPr>
          <w:rFonts w:ascii="Times New Roman" w:hAnsi="Times New Roman"/>
          <w:i/>
          <w:iCs/>
        </w:rPr>
        <w:t>Haiti Legal Patrimony Project</w:t>
      </w:r>
      <w:r w:rsidR="005412DE" w:rsidRPr="001D6905">
        <w:rPr>
          <w:rFonts w:ascii="Times New Roman" w:hAnsi="Times New Roman"/>
        </w:rPr>
        <w:t xml:space="preserve"> are available through LLMC (for subscribers </w:t>
      </w:r>
      <w:r w:rsidR="00D93ECD" w:rsidRPr="001D6905">
        <w:rPr>
          <w:rFonts w:ascii="Times New Roman" w:hAnsi="Times New Roman"/>
        </w:rPr>
        <w:t xml:space="preserve">with paid </w:t>
      </w:r>
      <w:r w:rsidR="005412DE" w:rsidRPr="001D6905">
        <w:rPr>
          <w:rFonts w:ascii="Times New Roman" w:hAnsi="Times New Roman"/>
        </w:rPr>
        <w:t>access) and</w:t>
      </w:r>
      <w:r w:rsidR="00B83510">
        <w:rPr>
          <w:rFonts w:ascii="Times New Roman" w:hAnsi="Times New Roman"/>
        </w:rPr>
        <w:t xml:space="preserve"> all resources</w:t>
      </w:r>
      <w:r w:rsidR="00D93ECD" w:rsidRPr="001D6905">
        <w:rPr>
          <w:rFonts w:ascii="Times New Roman" w:hAnsi="Times New Roman"/>
        </w:rPr>
        <w:t xml:space="preserve"> are also</w:t>
      </w:r>
      <w:r w:rsidR="009E4C4A">
        <w:rPr>
          <w:rFonts w:ascii="Times New Roman" w:hAnsi="Times New Roman"/>
        </w:rPr>
        <w:t xml:space="preserve"> freely available through</w:t>
      </w:r>
      <w:r w:rsidR="005412DE" w:rsidRPr="001D6905">
        <w:rPr>
          <w:rFonts w:ascii="Times New Roman" w:hAnsi="Times New Roman"/>
        </w:rPr>
        <w:t xml:space="preserve"> </w:t>
      </w:r>
      <w:r w:rsidR="00D93ECD" w:rsidRPr="001D6905">
        <w:rPr>
          <w:rFonts w:ascii="Times New Roman" w:hAnsi="Times New Roman"/>
          <w:iCs/>
        </w:rPr>
        <w:t>dLOC.</w:t>
      </w:r>
    </w:p>
    <w:p w:rsidR="00D93ECD" w:rsidRPr="00A96E5F" w:rsidRDefault="00D93ECD" w:rsidP="00A96E5F">
      <w:pPr>
        <w:spacing w:line="480" w:lineRule="auto"/>
        <w:ind w:firstLine="720"/>
        <w:rPr>
          <w:rFonts w:ascii="Times New Roman" w:hAnsi="Times New Roman"/>
          <w:iCs/>
        </w:rPr>
      </w:pPr>
      <w:r w:rsidRPr="001D6905">
        <w:rPr>
          <w:rFonts w:ascii="Times New Roman" w:hAnsi="Times New Roman"/>
        </w:rPr>
        <w:t>Previously, LLMC had undertaken many projects to digitize legal documents. In all of the prior projects, access was only availabl</w:t>
      </w:r>
      <w:r w:rsidR="009B699E">
        <w:rPr>
          <w:rFonts w:ascii="Times New Roman" w:hAnsi="Times New Roman"/>
        </w:rPr>
        <w:t>e for paid subscribers to LLMC</w:t>
      </w:r>
      <w:r w:rsidRPr="001D6905">
        <w:rPr>
          <w:rFonts w:ascii="Times New Roman" w:hAnsi="Times New Roman"/>
        </w:rPr>
        <w:t xml:space="preserve">. With the </w:t>
      </w:r>
      <w:r w:rsidRPr="001D6905">
        <w:rPr>
          <w:rFonts w:ascii="Times New Roman" w:hAnsi="Times New Roman"/>
          <w:iCs/>
        </w:rPr>
        <w:t xml:space="preserve">LLMC </w:t>
      </w:r>
      <w:r w:rsidRPr="001D6905">
        <w:rPr>
          <w:rFonts w:ascii="Times New Roman" w:hAnsi="Times New Roman"/>
          <w:i/>
          <w:iCs/>
        </w:rPr>
        <w:t>Haiti Legal Patrimony Project</w:t>
      </w:r>
      <w:r w:rsidRPr="001D6905">
        <w:rPr>
          <w:rFonts w:ascii="Times New Roman" w:hAnsi="Times New Roman"/>
          <w:iCs/>
        </w:rPr>
        <w:t>, LLMC sought to go beyond their existing model to ensure free and full access for all in Haiti and working with Haiti following the disaster. This meant worldwide, free access was needed. As an institution, LLMC also had to support the costs for this project. In working with their community, participating libraries provided access to physical content for digitization, digitized files, and financial support. LLMC thus initiated a new project model which responded to a disaster not only to mitigate loss but to actually improve overall access to and preserva</w:t>
      </w:r>
      <w:r w:rsidR="00C57841" w:rsidRPr="001D6905">
        <w:rPr>
          <w:rFonts w:ascii="Times New Roman" w:hAnsi="Times New Roman"/>
          <w:iCs/>
        </w:rPr>
        <w:t>tion of materials. In doing so</w:t>
      </w:r>
      <w:r w:rsidRPr="001D6905">
        <w:rPr>
          <w:rFonts w:ascii="Times New Roman" w:hAnsi="Times New Roman"/>
          <w:iCs/>
        </w:rPr>
        <w:t xml:space="preserve"> LLMC provided mitigation for the present concerns, furthered preparedness for the future, and </w:t>
      </w:r>
      <w:r w:rsidR="00C57841" w:rsidRPr="001D6905">
        <w:rPr>
          <w:rFonts w:ascii="Times New Roman" w:hAnsi="Times New Roman"/>
          <w:iCs/>
        </w:rPr>
        <w:t xml:space="preserve">expanded the possible models to support the overall lifecycle as a whole. </w:t>
      </w:r>
      <w:r w:rsidRPr="001D6905">
        <w:rPr>
          <w:rFonts w:ascii="Times New Roman" w:hAnsi="Times New Roman"/>
          <w:iCs/>
        </w:rPr>
        <w:t xml:space="preserve"> </w:t>
      </w:r>
    </w:p>
    <w:p w:rsidR="005E7563" w:rsidRPr="001D6905" w:rsidRDefault="00C57841" w:rsidP="00A96E5F">
      <w:pPr>
        <w:spacing w:line="480" w:lineRule="auto"/>
        <w:ind w:firstLine="720"/>
        <w:rPr>
          <w:rFonts w:ascii="Times New Roman" w:hAnsi="Times New Roman"/>
        </w:rPr>
      </w:pPr>
      <w:r w:rsidRPr="001D6905">
        <w:rPr>
          <w:rFonts w:ascii="Times New Roman" w:hAnsi="Times New Roman"/>
        </w:rPr>
        <w:t>With</w:t>
      </w:r>
      <w:r w:rsidR="005412DE" w:rsidRPr="001D6905">
        <w:rPr>
          <w:rFonts w:ascii="Times New Roman" w:hAnsi="Times New Roman"/>
        </w:rPr>
        <w:t xml:space="preserve"> this project, one of LLMC’s goals was to build the worldwide network. As stated on the LLMC website: </w:t>
      </w:r>
    </w:p>
    <w:p w:rsidR="005412DE" w:rsidRDefault="005412DE" w:rsidP="00A96E5F">
      <w:pPr>
        <w:ind w:left="720"/>
        <w:rPr>
          <w:rFonts w:ascii="Times New Roman" w:hAnsi="Times New Roman"/>
        </w:rPr>
      </w:pPr>
      <w:r w:rsidRPr="001D6905">
        <w:rPr>
          <w:rFonts w:ascii="Times New Roman" w:hAnsi="Times New Roman"/>
        </w:rPr>
        <w:lastRenderedPageBreak/>
        <w:t>The real potential behind the Haiti Legal Patrimony Project is the opportunity to combine the scattered resources of law libraries around the world. To get that process going, over 13 libraries have agreed to sponsor the project by canvassing their collections to see if they ha</w:t>
      </w:r>
      <w:r w:rsidR="000D122C">
        <w:rPr>
          <w:rFonts w:ascii="Times New Roman" w:hAnsi="Times New Roman"/>
        </w:rPr>
        <w:t>ve unique titles to contribute.</w:t>
      </w:r>
      <w:r w:rsidRPr="001D6905">
        <w:rPr>
          <w:rFonts w:ascii="Times New Roman" w:hAnsi="Times New Roman"/>
        </w:rPr>
        <w:t xml:space="preserve"> (</w:t>
      </w:r>
      <w:r w:rsidR="001D0A99">
        <w:rPr>
          <w:rFonts w:ascii="Times New Roman" w:hAnsi="Times New Roman"/>
        </w:rPr>
        <w:t>LLMC)</w:t>
      </w:r>
    </w:p>
    <w:p w:rsidR="00A96E5F" w:rsidRPr="001D6905" w:rsidRDefault="00A96E5F" w:rsidP="00A96E5F">
      <w:pPr>
        <w:ind w:left="720"/>
        <w:rPr>
          <w:rFonts w:ascii="Times New Roman" w:hAnsi="Times New Roman"/>
        </w:rPr>
      </w:pPr>
    </w:p>
    <w:p w:rsidR="007D7BF4" w:rsidRPr="001D6905" w:rsidRDefault="005412DE" w:rsidP="00A96E5F">
      <w:pPr>
        <w:spacing w:line="480" w:lineRule="auto"/>
        <w:rPr>
          <w:rFonts w:ascii="Times New Roman" w:hAnsi="Times New Roman"/>
        </w:rPr>
      </w:pPr>
      <w:r w:rsidRPr="001D6905">
        <w:rPr>
          <w:rFonts w:ascii="Times New Roman" w:hAnsi="Times New Roman"/>
        </w:rPr>
        <w:t>In working on the LLMC project, partners learned more about their own collections and about the materials themselves. The initial “master title list” included all materials that were</w:t>
      </w:r>
      <w:r w:rsidR="00CA32C2" w:rsidRPr="001D6905">
        <w:rPr>
          <w:rFonts w:ascii="Times New Roman" w:hAnsi="Times New Roman"/>
        </w:rPr>
        <w:t xml:space="preserve"> thought to be</w:t>
      </w:r>
      <w:r w:rsidRPr="001D6905">
        <w:rPr>
          <w:rFonts w:ascii="Times New Roman" w:hAnsi="Times New Roman"/>
        </w:rPr>
        <w:t xml:space="preserve"> wanted for the project</w:t>
      </w:r>
      <w:r w:rsidR="00CA32C2" w:rsidRPr="001D6905">
        <w:rPr>
          <w:rFonts w:ascii="Times New Roman" w:hAnsi="Times New Roman"/>
        </w:rPr>
        <w:t>. As the project continued, new entries were added to the master list each</w:t>
      </w:r>
      <w:r w:rsidRPr="001D6905">
        <w:rPr>
          <w:rFonts w:ascii="Times New Roman" w:hAnsi="Times New Roman"/>
        </w:rPr>
        <w:t xml:space="preserve"> month </w:t>
      </w:r>
      <w:r w:rsidR="00CA32C2" w:rsidRPr="001D6905">
        <w:rPr>
          <w:rFonts w:ascii="Times New Roman" w:hAnsi="Times New Roman"/>
        </w:rPr>
        <w:t>because</w:t>
      </w:r>
      <w:r w:rsidRPr="001D6905">
        <w:rPr>
          <w:rFonts w:ascii="Times New Roman" w:hAnsi="Times New Roman"/>
        </w:rPr>
        <w:t xml:space="preserve"> new materials critical to the project goals</w:t>
      </w:r>
      <w:r w:rsidR="00CA32C2" w:rsidRPr="001D6905">
        <w:rPr>
          <w:rFonts w:ascii="Times New Roman" w:hAnsi="Times New Roman"/>
        </w:rPr>
        <w:t>, but that were previously unknown,</w:t>
      </w:r>
      <w:r w:rsidRPr="001D6905">
        <w:rPr>
          <w:rFonts w:ascii="Times New Roman" w:hAnsi="Times New Roman"/>
        </w:rPr>
        <w:t xml:space="preserve"> </w:t>
      </w:r>
      <w:r w:rsidR="00CA32C2" w:rsidRPr="001D6905">
        <w:rPr>
          <w:rFonts w:ascii="Times New Roman" w:hAnsi="Times New Roman"/>
        </w:rPr>
        <w:t>were discovered.</w:t>
      </w:r>
      <w:r w:rsidRPr="001D6905">
        <w:rPr>
          <w:rFonts w:ascii="Times New Roman" w:hAnsi="Times New Roman"/>
        </w:rPr>
        <w:t xml:space="preserve"> Many of the i</w:t>
      </w:r>
      <w:r w:rsidR="00CA32C2" w:rsidRPr="001D6905">
        <w:rPr>
          <w:rFonts w:ascii="Times New Roman" w:hAnsi="Times New Roman"/>
        </w:rPr>
        <w:t>tems being added to the list had</w:t>
      </w:r>
      <w:r w:rsidRPr="001D6905">
        <w:rPr>
          <w:rFonts w:ascii="Times New Roman" w:hAnsi="Times New Roman"/>
        </w:rPr>
        <w:t xml:space="preserve"> already been digitized.</w:t>
      </w:r>
      <w:r w:rsidR="00277864" w:rsidRPr="001D6905">
        <w:rPr>
          <w:rFonts w:ascii="Times New Roman" w:hAnsi="Times New Roman"/>
        </w:rPr>
        <w:t xml:space="preserve"> The project itself thus</w:t>
      </w:r>
      <w:r w:rsidR="00780706" w:rsidRPr="001D6905">
        <w:rPr>
          <w:rFonts w:ascii="Times New Roman" w:hAnsi="Times New Roman"/>
        </w:rPr>
        <w:t>:</w:t>
      </w:r>
      <w:r w:rsidR="00277864" w:rsidRPr="001D6905">
        <w:rPr>
          <w:rFonts w:ascii="Times New Roman" w:hAnsi="Times New Roman"/>
        </w:rPr>
        <w:t xml:space="preserve"> digitized</w:t>
      </w:r>
      <w:r w:rsidRPr="001D6905">
        <w:rPr>
          <w:rFonts w:ascii="Times New Roman" w:hAnsi="Times New Roman"/>
        </w:rPr>
        <w:t xml:space="preserve"> materials to preserve and provide access</w:t>
      </w:r>
      <w:r w:rsidR="00780706" w:rsidRPr="001D6905">
        <w:rPr>
          <w:rFonts w:ascii="Times New Roman" w:hAnsi="Times New Roman"/>
        </w:rPr>
        <w:t>,</w:t>
      </w:r>
      <w:r w:rsidRPr="001D6905">
        <w:rPr>
          <w:rFonts w:ascii="Times New Roman" w:hAnsi="Times New Roman"/>
        </w:rPr>
        <w:t xml:space="preserve"> </w:t>
      </w:r>
      <w:r w:rsidR="00780706" w:rsidRPr="001D6905">
        <w:rPr>
          <w:rFonts w:ascii="Times New Roman" w:hAnsi="Times New Roman"/>
        </w:rPr>
        <w:t xml:space="preserve">increased access and </w:t>
      </w:r>
      <w:r w:rsidRPr="001D6905">
        <w:rPr>
          <w:rFonts w:ascii="Times New Roman" w:hAnsi="Times New Roman"/>
        </w:rPr>
        <w:t xml:space="preserve">findability </w:t>
      </w:r>
      <w:r w:rsidR="00780706" w:rsidRPr="001D6905">
        <w:rPr>
          <w:rFonts w:ascii="Times New Roman" w:hAnsi="Times New Roman"/>
        </w:rPr>
        <w:t>for</w:t>
      </w:r>
      <w:r w:rsidRPr="001D6905">
        <w:rPr>
          <w:rFonts w:ascii="Times New Roman" w:hAnsi="Times New Roman"/>
        </w:rPr>
        <w:t xml:space="preserve"> al</w:t>
      </w:r>
      <w:r w:rsidR="00780706" w:rsidRPr="001D6905">
        <w:rPr>
          <w:rFonts w:ascii="Times New Roman" w:hAnsi="Times New Roman"/>
        </w:rPr>
        <w:t xml:space="preserve">ready digitized materials by </w:t>
      </w:r>
      <w:r w:rsidRPr="001D6905">
        <w:rPr>
          <w:rFonts w:ascii="Times New Roman" w:hAnsi="Times New Roman"/>
        </w:rPr>
        <w:t>locating them within a central collection</w:t>
      </w:r>
      <w:r w:rsidR="00780706" w:rsidRPr="001D6905">
        <w:rPr>
          <w:rFonts w:ascii="Times New Roman" w:hAnsi="Times New Roman"/>
        </w:rPr>
        <w:t xml:space="preserve">, and enhanced the available contextual information about the materials which enhances the overall usability and support for understanding the </w:t>
      </w:r>
      <w:r w:rsidR="007F2C75" w:rsidRPr="001D6905">
        <w:rPr>
          <w:rFonts w:ascii="Times New Roman" w:hAnsi="Times New Roman"/>
        </w:rPr>
        <w:t xml:space="preserve">materials. As with the </w:t>
      </w:r>
      <w:r w:rsidR="007F2C75" w:rsidRPr="001D6905">
        <w:rPr>
          <w:rFonts w:ascii="Times New Roman" w:hAnsi="Times New Roman"/>
          <w:i/>
        </w:rPr>
        <w:t>Windward Islands’ Opinion</w:t>
      </w:r>
      <w:r w:rsidR="007F2C75" w:rsidRPr="001D6905">
        <w:rPr>
          <w:rFonts w:ascii="Times New Roman" w:hAnsi="Times New Roman"/>
        </w:rPr>
        <w:t>, the LLMC project shows the importance of</w:t>
      </w:r>
      <w:r w:rsidRPr="001D6905">
        <w:rPr>
          <w:rFonts w:ascii="Times New Roman" w:hAnsi="Times New Roman"/>
        </w:rPr>
        <w:t xml:space="preserve"> curatorial work </w:t>
      </w:r>
      <w:r w:rsidR="007F2C75" w:rsidRPr="001D6905">
        <w:rPr>
          <w:rFonts w:ascii="Times New Roman" w:hAnsi="Times New Roman"/>
        </w:rPr>
        <w:t>for</w:t>
      </w:r>
      <w:r w:rsidRPr="001D6905">
        <w:rPr>
          <w:rFonts w:ascii="Times New Roman" w:hAnsi="Times New Roman"/>
        </w:rPr>
        <w:t xml:space="preserve"> providing the level of access </w:t>
      </w:r>
      <w:r w:rsidR="002E01CD" w:rsidRPr="001D6905">
        <w:rPr>
          <w:rFonts w:ascii="Times New Roman" w:hAnsi="Times New Roman"/>
        </w:rPr>
        <w:t xml:space="preserve">necessary </w:t>
      </w:r>
      <w:r w:rsidRPr="001D6905">
        <w:rPr>
          <w:rFonts w:ascii="Times New Roman" w:hAnsi="Times New Roman"/>
        </w:rPr>
        <w:t xml:space="preserve">for </w:t>
      </w:r>
      <w:r w:rsidR="002E01CD" w:rsidRPr="001D6905">
        <w:rPr>
          <w:rFonts w:ascii="Times New Roman" w:hAnsi="Times New Roman"/>
        </w:rPr>
        <w:t xml:space="preserve">immediate </w:t>
      </w:r>
      <w:r w:rsidRPr="001D6905">
        <w:rPr>
          <w:rFonts w:ascii="Times New Roman" w:hAnsi="Times New Roman"/>
        </w:rPr>
        <w:t xml:space="preserve">disaster mitigation and </w:t>
      </w:r>
      <w:r w:rsidR="002E01CD" w:rsidRPr="001D6905">
        <w:rPr>
          <w:rFonts w:ascii="Times New Roman" w:hAnsi="Times New Roman"/>
        </w:rPr>
        <w:t xml:space="preserve">future preparedness. </w:t>
      </w:r>
      <w:r w:rsidR="00E32EB7" w:rsidRPr="001D6905">
        <w:rPr>
          <w:rFonts w:ascii="Times New Roman" w:hAnsi="Times New Roman"/>
        </w:rPr>
        <w:t>This curatorial work requires a great deal of research and effort. In fact, the curatorial work itself is</w:t>
      </w:r>
      <w:r w:rsidRPr="001D6905">
        <w:rPr>
          <w:rFonts w:ascii="Times New Roman" w:hAnsi="Times New Roman"/>
        </w:rPr>
        <w:t xml:space="preserve"> recognized as </w:t>
      </w:r>
      <w:r w:rsidR="00E32EB7" w:rsidRPr="001D6905">
        <w:rPr>
          <w:rFonts w:ascii="Times New Roman" w:hAnsi="Times New Roman"/>
        </w:rPr>
        <w:t xml:space="preserve">a highly important and rigorous form of </w:t>
      </w:r>
      <w:r w:rsidRPr="001D6905">
        <w:rPr>
          <w:rFonts w:ascii="Times New Roman" w:hAnsi="Times New Roman"/>
        </w:rPr>
        <w:t xml:space="preserve">academic scholarship </w:t>
      </w:r>
      <w:r w:rsidR="00E32EB7" w:rsidRPr="001D6905">
        <w:rPr>
          <w:rFonts w:ascii="Times New Roman" w:hAnsi="Times New Roman"/>
        </w:rPr>
        <w:t xml:space="preserve">within </w:t>
      </w:r>
      <w:r w:rsidRPr="001D6905">
        <w:rPr>
          <w:rFonts w:ascii="Times New Roman" w:hAnsi="Times New Roman"/>
        </w:rPr>
        <w:t xml:space="preserve">the digital humanities. </w:t>
      </w:r>
      <w:r w:rsidR="000408CB" w:rsidRPr="001D6905">
        <w:rPr>
          <w:rFonts w:ascii="Times New Roman" w:hAnsi="Times New Roman"/>
        </w:rPr>
        <w:t>Finding materials, creating context, locating the materials together, and locating the materials within the proper context is necessary for disaster preparedness and mitigation. D</w:t>
      </w:r>
      <w:r w:rsidR="00E568ED" w:rsidRPr="001D6905">
        <w:rPr>
          <w:rFonts w:ascii="Times New Roman" w:hAnsi="Times New Roman"/>
        </w:rPr>
        <w:t>igital library comm</w:t>
      </w:r>
      <w:r w:rsidR="000408CB" w:rsidRPr="001D6905">
        <w:rPr>
          <w:rFonts w:ascii="Times New Roman" w:hAnsi="Times New Roman"/>
        </w:rPr>
        <w:t>unities are called</w:t>
      </w:r>
      <w:r w:rsidR="00E568ED" w:rsidRPr="001D6905">
        <w:rPr>
          <w:rFonts w:ascii="Times New Roman" w:hAnsi="Times New Roman"/>
        </w:rPr>
        <w:t xml:space="preserve"> </w:t>
      </w:r>
      <w:r w:rsidR="000408CB" w:rsidRPr="001D6905">
        <w:rPr>
          <w:rFonts w:ascii="Times New Roman" w:hAnsi="Times New Roman"/>
        </w:rPr>
        <w:t xml:space="preserve">upon to </w:t>
      </w:r>
      <w:r w:rsidR="00E568ED" w:rsidRPr="001D6905">
        <w:rPr>
          <w:rFonts w:ascii="Times New Roman" w:hAnsi="Times New Roman"/>
        </w:rPr>
        <w:t xml:space="preserve">respond </w:t>
      </w:r>
      <w:r w:rsidR="009F610E" w:rsidRPr="001D6905">
        <w:rPr>
          <w:rFonts w:ascii="Times New Roman" w:hAnsi="Times New Roman"/>
        </w:rPr>
        <w:t>and must do so as full</w:t>
      </w:r>
      <w:r w:rsidR="000408CB" w:rsidRPr="001D6905">
        <w:rPr>
          <w:rFonts w:ascii="Times New Roman" w:hAnsi="Times New Roman"/>
        </w:rPr>
        <w:t xml:space="preserve"> </w:t>
      </w:r>
      <w:r w:rsidR="009F610E" w:rsidRPr="001D6905">
        <w:rPr>
          <w:rFonts w:ascii="Times New Roman" w:hAnsi="Times New Roman"/>
        </w:rPr>
        <w:t>communities in order to meet the demands for curatorial work given its complexity and sheer quantity</w:t>
      </w:r>
      <w:r w:rsidRPr="001D6905">
        <w:rPr>
          <w:rFonts w:ascii="Times New Roman" w:hAnsi="Times New Roman"/>
        </w:rPr>
        <w:t xml:space="preserve">. </w:t>
      </w:r>
    </w:p>
    <w:p w:rsidR="007D7BF4" w:rsidRPr="001D6905" w:rsidRDefault="007D7BF4" w:rsidP="00A96E5F">
      <w:pPr>
        <w:spacing w:line="480" w:lineRule="auto"/>
        <w:ind w:firstLine="720"/>
        <w:rPr>
          <w:rFonts w:ascii="Times New Roman" w:hAnsi="Times New Roman"/>
        </w:rPr>
      </w:pPr>
      <w:r w:rsidRPr="001D6905">
        <w:rPr>
          <w:rFonts w:ascii="Times New Roman" w:hAnsi="Times New Roman"/>
        </w:rPr>
        <w:t xml:space="preserve">In order to support disaster mitigation and preparedness, LLMC expanded their library community and project models. The Association for Cultural Equity (ACE) </w:t>
      </w:r>
      <w:r w:rsidRPr="001D6905">
        <w:rPr>
          <w:rFonts w:ascii="Times New Roman" w:hAnsi="Times New Roman"/>
        </w:rPr>
        <w:lastRenderedPageBreak/>
        <w:t xml:space="preserve">similarly did so for a project with the Alan Lomax recordings. Unlike LLMC, ACE began by preserving and then digitizing primary materials not held by libraries and without the initial involvement of library communities. </w:t>
      </w:r>
    </w:p>
    <w:p w:rsidR="00E46A97" w:rsidRPr="001D6905" w:rsidRDefault="007D7BF4" w:rsidP="00A96E5F">
      <w:pPr>
        <w:spacing w:line="480" w:lineRule="auto"/>
        <w:ind w:firstLine="720"/>
        <w:rPr>
          <w:rFonts w:ascii="Times New Roman" w:hAnsi="Times New Roman"/>
        </w:rPr>
      </w:pPr>
      <w:r w:rsidRPr="001D6905">
        <w:rPr>
          <w:rFonts w:ascii="Times New Roman" w:hAnsi="Times New Roman"/>
        </w:rPr>
        <w:t xml:space="preserve">The ACE project for the Alan Lomax recordings is an example of how digital libraries support new communities that are initially outside of the digital library communities and that eventually become part of the digital library communities because of the need for collaboration with libraries to support shared goals for disaster preparedness and mitigation. The Alan Lomax recordings led to the emergence of ACE, which was created to support the preservation and access needs of the recordings. As the immediate needs for the materials were satisfied, new needs emerged. These new needs included the repatriation, distribution, and promotion of the materials as well as preservation and access support for secondary materials. In this case, the secondary materials are thousands of photographs taken by Alan Lomax when he was also creating the audio recordings. </w:t>
      </w:r>
    </w:p>
    <w:p w:rsidR="00E46A97" w:rsidRPr="001D6905" w:rsidRDefault="009841E0" w:rsidP="00A96E5F">
      <w:pPr>
        <w:spacing w:line="480" w:lineRule="auto"/>
        <w:ind w:firstLine="720"/>
        <w:rPr>
          <w:rFonts w:ascii="Times New Roman" w:hAnsi="Times New Roman"/>
        </w:rPr>
      </w:pPr>
      <w:r w:rsidRPr="001D6905">
        <w:rPr>
          <w:rFonts w:ascii="Times New Roman" w:hAnsi="Times New Roman"/>
        </w:rPr>
        <w:t xml:space="preserve">Alan Lomax made his recordings in the Caribbean beginning in 1935 when </w:t>
      </w:r>
      <w:r w:rsidR="009536F8" w:rsidRPr="001D6905">
        <w:rPr>
          <w:rFonts w:ascii="Times New Roman" w:hAnsi="Times New Roman"/>
        </w:rPr>
        <w:t xml:space="preserve">Lomax sailed to the Bahamas. Lomax was supported by a budget of </w:t>
      </w:r>
      <w:r w:rsidR="00E46A97" w:rsidRPr="001D6905">
        <w:rPr>
          <w:rFonts w:ascii="Times New Roman" w:hAnsi="Times New Roman"/>
        </w:rPr>
        <w:t xml:space="preserve">$198 from the Library of Congress, </w:t>
      </w:r>
      <w:r w:rsidR="009536F8" w:rsidRPr="001D6905">
        <w:rPr>
          <w:rFonts w:ascii="Times New Roman" w:hAnsi="Times New Roman"/>
        </w:rPr>
        <w:t>garnered thanks to support from Zora Neale Hurston. He traveled</w:t>
      </w:r>
      <w:r w:rsidR="00E46A97" w:rsidRPr="001D6905">
        <w:rPr>
          <w:rFonts w:ascii="Times New Roman" w:hAnsi="Times New Roman"/>
        </w:rPr>
        <w:t xml:space="preserve"> to Nassau, Cat Island</w:t>
      </w:r>
      <w:r w:rsidR="009536F8" w:rsidRPr="001D6905">
        <w:rPr>
          <w:rFonts w:ascii="Times New Roman" w:hAnsi="Times New Roman"/>
        </w:rPr>
        <w:t>,</w:t>
      </w:r>
      <w:r w:rsidR="00E46A97" w:rsidRPr="001D6905">
        <w:rPr>
          <w:rFonts w:ascii="Times New Roman" w:hAnsi="Times New Roman"/>
        </w:rPr>
        <w:t xml:space="preserve"> and Andros Island</w:t>
      </w:r>
      <w:r w:rsidR="009536F8" w:rsidRPr="001D6905">
        <w:rPr>
          <w:rFonts w:ascii="Times New Roman" w:hAnsi="Times New Roman"/>
        </w:rPr>
        <w:t>. There, he recorded</w:t>
      </w:r>
      <w:r w:rsidR="00E46A97" w:rsidRPr="001D6905">
        <w:rPr>
          <w:rFonts w:ascii="Times New Roman" w:hAnsi="Times New Roman"/>
        </w:rPr>
        <w:t xml:space="preserve"> sailors, sponge fishermen, farmers and dockworkers. </w:t>
      </w:r>
      <w:r w:rsidR="009536F8" w:rsidRPr="001D6905">
        <w:rPr>
          <w:rFonts w:ascii="Times New Roman" w:hAnsi="Times New Roman"/>
        </w:rPr>
        <w:t xml:space="preserve">His recordings capture </w:t>
      </w:r>
      <w:r w:rsidR="00E46A97" w:rsidRPr="001D6905">
        <w:rPr>
          <w:rFonts w:ascii="Times New Roman" w:hAnsi="Times New Roman"/>
        </w:rPr>
        <w:t xml:space="preserve">African and New World styles and traditions </w:t>
      </w:r>
      <w:r w:rsidR="009536F8" w:rsidRPr="001D6905">
        <w:rPr>
          <w:rFonts w:ascii="Times New Roman" w:hAnsi="Times New Roman"/>
        </w:rPr>
        <w:t>intertwined in</w:t>
      </w:r>
      <w:r w:rsidR="00E46A97" w:rsidRPr="001D6905">
        <w:rPr>
          <w:rFonts w:ascii="Times New Roman" w:hAnsi="Times New Roman"/>
        </w:rPr>
        <w:t xml:space="preserve"> boat-pulling songs, shanties, anthems, and old story songs</w:t>
      </w:r>
      <w:r w:rsidR="009536F8" w:rsidRPr="001D6905">
        <w:rPr>
          <w:rFonts w:ascii="Times New Roman" w:hAnsi="Times New Roman"/>
        </w:rPr>
        <w:t xml:space="preserve">. The old story songs are </w:t>
      </w:r>
      <w:r w:rsidR="00E46A97" w:rsidRPr="001D6905">
        <w:rPr>
          <w:rFonts w:ascii="Times New Roman" w:hAnsi="Times New Roman"/>
        </w:rPr>
        <w:t xml:space="preserve">a cross between Jack tales and African </w:t>
      </w:r>
      <w:proofErr w:type="spellStart"/>
      <w:r w:rsidR="00E46A97" w:rsidRPr="001D6905">
        <w:rPr>
          <w:rFonts w:ascii="Times New Roman" w:hAnsi="Times New Roman"/>
        </w:rPr>
        <w:t>Anancy</w:t>
      </w:r>
      <w:proofErr w:type="spellEnd"/>
      <w:r w:rsidR="00E46A97" w:rsidRPr="001D6905">
        <w:rPr>
          <w:rFonts w:ascii="Times New Roman" w:hAnsi="Times New Roman"/>
        </w:rPr>
        <w:t xml:space="preserve"> tales of trick</w:t>
      </w:r>
      <w:r w:rsidR="009536F8" w:rsidRPr="001D6905">
        <w:rPr>
          <w:rFonts w:ascii="Times New Roman" w:hAnsi="Times New Roman"/>
        </w:rPr>
        <w:t>ster lads outwitting the devil</w:t>
      </w:r>
      <w:r w:rsidR="00E46A97" w:rsidRPr="001D6905">
        <w:rPr>
          <w:rFonts w:ascii="Times New Roman" w:hAnsi="Times New Roman"/>
        </w:rPr>
        <w:t xml:space="preserve">. </w:t>
      </w:r>
      <w:r w:rsidR="00CA77BF" w:rsidRPr="001D6905">
        <w:rPr>
          <w:rFonts w:ascii="Times New Roman" w:hAnsi="Times New Roman"/>
        </w:rPr>
        <w:t>One of the songs in this collection, t</w:t>
      </w:r>
      <w:r w:rsidR="00E46A97" w:rsidRPr="001D6905">
        <w:rPr>
          <w:rFonts w:ascii="Times New Roman" w:hAnsi="Times New Roman"/>
        </w:rPr>
        <w:t xml:space="preserve">he "John B. Sail" </w:t>
      </w:r>
      <w:r w:rsidR="00CA77BF" w:rsidRPr="001D6905">
        <w:rPr>
          <w:rFonts w:ascii="Times New Roman" w:hAnsi="Times New Roman"/>
        </w:rPr>
        <w:t>was</w:t>
      </w:r>
      <w:r w:rsidR="00E46A97" w:rsidRPr="001D6905">
        <w:rPr>
          <w:rFonts w:ascii="Times New Roman" w:hAnsi="Times New Roman"/>
        </w:rPr>
        <w:t xml:space="preserve"> a popular hit, sung by </w:t>
      </w:r>
      <w:r w:rsidR="00CA77BF" w:rsidRPr="001D6905">
        <w:rPr>
          <w:rFonts w:ascii="Times New Roman" w:hAnsi="Times New Roman"/>
        </w:rPr>
        <w:t xml:space="preserve">many artists including </w:t>
      </w:r>
      <w:r w:rsidR="00E46A97" w:rsidRPr="001D6905">
        <w:rPr>
          <w:rFonts w:ascii="Times New Roman" w:hAnsi="Times New Roman"/>
        </w:rPr>
        <w:t>Pete Seeger, The Beach Boys, and Johnny Cash.</w:t>
      </w:r>
      <w:r w:rsidR="00E60120" w:rsidRPr="001D6905">
        <w:rPr>
          <w:rFonts w:ascii="Times New Roman" w:hAnsi="Times New Roman"/>
        </w:rPr>
        <w:t xml:space="preserve"> In</w:t>
      </w:r>
      <w:r w:rsidR="00E46A97" w:rsidRPr="001D6905">
        <w:rPr>
          <w:rFonts w:ascii="Times New Roman" w:hAnsi="Times New Roman"/>
        </w:rPr>
        <w:t xml:space="preserve"> </w:t>
      </w:r>
      <w:r w:rsidR="00E46A97" w:rsidRPr="001D6905">
        <w:rPr>
          <w:rFonts w:ascii="Times New Roman" w:hAnsi="Times New Roman"/>
        </w:rPr>
        <w:lastRenderedPageBreak/>
        <w:t>1936–</w:t>
      </w:r>
      <w:r w:rsidR="00E60120" w:rsidRPr="001D6905">
        <w:rPr>
          <w:rFonts w:ascii="Times New Roman" w:hAnsi="Times New Roman"/>
        </w:rPr>
        <w:t>19</w:t>
      </w:r>
      <w:r w:rsidR="00E46A97" w:rsidRPr="001D6905">
        <w:rPr>
          <w:rFonts w:ascii="Times New Roman" w:hAnsi="Times New Roman"/>
        </w:rPr>
        <w:t xml:space="preserve">37, </w:t>
      </w:r>
      <w:r w:rsidR="00CA77BF" w:rsidRPr="001D6905">
        <w:rPr>
          <w:rFonts w:ascii="Times New Roman" w:hAnsi="Times New Roman"/>
        </w:rPr>
        <w:t>the Library of Congress</w:t>
      </w:r>
      <w:r w:rsidR="00E46A97" w:rsidRPr="001D6905">
        <w:rPr>
          <w:rFonts w:ascii="Times New Roman" w:hAnsi="Times New Roman"/>
        </w:rPr>
        <w:t xml:space="preserve"> sponsor</w:t>
      </w:r>
      <w:r w:rsidR="00CA77BF" w:rsidRPr="001D6905">
        <w:rPr>
          <w:rFonts w:ascii="Times New Roman" w:hAnsi="Times New Roman"/>
        </w:rPr>
        <w:t>ed Lomax for</w:t>
      </w:r>
      <w:r w:rsidR="00E46A97" w:rsidRPr="001D6905">
        <w:rPr>
          <w:rFonts w:ascii="Times New Roman" w:hAnsi="Times New Roman"/>
        </w:rPr>
        <w:t xml:space="preserve"> an extensive recorded survey of Haitian music. </w:t>
      </w:r>
      <w:r w:rsidR="00CA77BF" w:rsidRPr="001D6905">
        <w:rPr>
          <w:rFonts w:ascii="Times New Roman" w:hAnsi="Times New Roman"/>
        </w:rPr>
        <w:t xml:space="preserve">For this collection, </w:t>
      </w:r>
      <w:r w:rsidR="00E46A97" w:rsidRPr="001D6905">
        <w:rPr>
          <w:rFonts w:ascii="Times New Roman" w:hAnsi="Times New Roman"/>
        </w:rPr>
        <w:t xml:space="preserve">Lomax made fifty hours of recordings documenting early </w:t>
      </w:r>
      <w:proofErr w:type="spellStart"/>
      <w:r w:rsidR="00E46A97" w:rsidRPr="001D6905">
        <w:rPr>
          <w:rFonts w:ascii="Times New Roman" w:hAnsi="Times New Roman"/>
        </w:rPr>
        <w:t>Rara</w:t>
      </w:r>
      <w:proofErr w:type="spellEnd"/>
      <w:r w:rsidR="00E46A97" w:rsidRPr="001D6905">
        <w:rPr>
          <w:rFonts w:ascii="Times New Roman" w:hAnsi="Times New Roman"/>
        </w:rPr>
        <w:t xml:space="preserve">, </w:t>
      </w:r>
      <w:proofErr w:type="spellStart"/>
      <w:r w:rsidR="00E46A97" w:rsidRPr="001D6905">
        <w:rPr>
          <w:rFonts w:ascii="Times New Roman" w:hAnsi="Times New Roman"/>
        </w:rPr>
        <w:t>combite</w:t>
      </w:r>
      <w:proofErr w:type="spellEnd"/>
      <w:r w:rsidR="00E46A97" w:rsidRPr="001D6905">
        <w:rPr>
          <w:rFonts w:ascii="Times New Roman" w:hAnsi="Times New Roman"/>
        </w:rPr>
        <w:t xml:space="preserve">, children’s game songs, </w:t>
      </w:r>
      <w:proofErr w:type="spellStart"/>
      <w:r w:rsidR="00E46A97" w:rsidRPr="001D6905">
        <w:rPr>
          <w:rFonts w:ascii="Times New Roman" w:hAnsi="Times New Roman"/>
        </w:rPr>
        <w:t>Vaudoo</w:t>
      </w:r>
      <w:proofErr w:type="spellEnd"/>
      <w:r w:rsidR="00E46A97" w:rsidRPr="001D6905">
        <w:rPr>
          <w:rFonts w:ascii="Times New Roman" w:hAnsi="Times New Roman"/>
        </w:rPr>
        <w:t xml:space="preserve">, antique French ballads, and legendary composer </w:t>
      </w:r>
      <w:proofErr w:type="spellStart"/>
      <w:r w:rsidR="00E46A97" w:rsidRPr="001D6905">
        <w:rPr>
          <w:rFonts w:ascii="Times New Roman" w:hAnsi="Times New Roman"/>
        </w:rPr>
        <w:t>Ludovic</w:t>
      </w:r>
      <w:proofErr w:type="spellEnd"/>
      <w:r w:rsidR="00E46A97" w:rsidRPr="001D6905">
        <w:rPr>
          <w:rFonts w:ascii="Times New Roman" w:hAnsi="Times New Roman"/>
        </w:rPr>
        <w:t xml:space="preserve"> </w:t>
      </w:r>
      <w:proofErr w:type="spellStart"/>
      <w:r w:rsidR="00E46A97" w:rsidRPr="001D6905">
        <w:rPr>
          <w:rFonts w:ascii="Times New Roman" w:hAnsi="Times New Roman"/>
        </w:rPr>
        <w:t>Lamothe</w:t>
      </w:r>
      <w:proofErr w:type="spellEnd"/>
      <w:r w:rsidR="00E46A97" w:rsidRPr="001D6905">
        <w:rPr>
          <w:rFonts w:ascii="Times New Roman" w:hAnsi="Times New Roman"/>
        </w:rPr>
        <w:t xml:space="preserve"> (1882-1953). </w:t>
      </w:r>
      <w:r w:rsidR="00CA77BF" w:rsidRPr="001D6905">
        <w:rPr>
          <w:rFonts w:ascii="Times New Roman" w:hAnsi="Times New Roman"/>
        </w:rPr>
        <w:t xml:space="preserve"> </w:t>
      </w:r>
      <w:r w:rsidR="00E46A97" w:rsidRPr="001D6905">
        <w:rPr>
          <w:rFonts w:ascii="Times New Roman" w:hAnsi="Times New Roman"/>
        </w:rPr>
        <w:t xml:space="preserve">The </w:t>
      </w:r>
      <w:r w:rsidR="00CA77BF" w:rsidRPr="001D6905">
        <w:rPr>
          <w:rFonts w:ascii="Times New Roman" w:hAnsi="Times New Roman"/>
        </w:rPr>
        <w:t>audio recordings for this collection are</w:t>
      </w:r>
      <w:r w:rsidR="00E46A97" w:rsidRPr="001D6905">
        <w:rPr>
          <w:rFonts w:ascii="Times New Roman" w:hAnsi="Times New Roman"/>
        </w:rPr>
        <w:t xml:space="preserve"> accompanied by </w:t>
      </w:r>
      <w:r w:rsidR="00CA77BF" w:rsidRPr="001D6905">
        <w:rPr>
          <w:rFonts w:ascii="Times New Roman" w:hAnsi="Times New Roman"/>
        </w:rPr>
        <w:t xml:space="preserve">archival materials: </w:t>
      </w:r>
      <w:r w:rsidR="00E46A97" w:rsidRPr="001D6905">
        <w:rPr>
          <w:rFonts w:ascii="Times New Roman" w:hAnsi="Times New Roman"/>
        </w:rPr>
        <w:t>a diary</w:t>
      </w:r>
      <w:r w:rsidR="00CA77BF" w:rsidRPr="001D6905">
        <w:rPr>
          <w:rFonts w:ascii="Times New Roman" w:hAnsi="Times New Roman"/>
        </w:rPr>
        <w:t>,</w:t>
      </w:r>
      <w:r w:rsidR="00E46A97" w:rsidRPr="001D6905">
        <w:rPr>
          <w:rFonts w:ascii="Times New Roman" w:hAnsi="Times New Roman"/>
        </w:rPr>
        <w:t xml:space="preserve"> correspondence chronicling the trip, diagrams, drawings, and film footage. </w:t>
      </w:r>
      <w:r w:rsidR="00CA77BF" w:rsidRPr="001D6905">
        <w:rPr>
          <w:rFonts w:ascii="Times New Roman" w:hAnsi="Times New Roman"/>
        </w:rPr>
        <w:t>These rich resources were unavailable and in danger for 70</w:t>
      </w:r>
      <w:r w:rsidR="00E46A97" w:rsidRPr="001D6905">
        <w:rPr>
          <w:rFonts w:ascii="Times New Roman" w:hAnsi="Times New Roman"/>
        </w:rPr>
        <w:t xml:space="preserve"> years</w:t>
      </w:r>
      <w:r w:rsidR="00CA77BF" w:rsidRPr="001D6905">
        <w:rPr>
          <w:rFonts w:ascii="Times New Roman" w:hAnsi="Times New Roman"/>
        </w:rPr>
        <w:t xml:space="preserve"> before ACE reformatted and restored the recordings. </w:t>
      </w:r>
    </w:p>
    <w:p w:rsidR="00E60120" w:rsidRPr="001D6905" w:rsidRDefault="00E46A97" w:rsidP="00A96E5F">
      <w:pPr>
        <w:spacing w:line="480" w:lineRule="auto"/>
        <w:ind w:firstLine="720"/>
        <w:rPr>
          <w:rFonts w:ascii="Times New Roman" w:hAnsi="Times New Roman"/>
        </w:rPr>
      </w:pPr>
      <w:r w:rsidRPr="001D6905">
        <w:rPr>
          <w:rFonts w:ascii="Times New Roman" w:hAnsi="Times New Roman"/>
        </w:rPr>
        <w:t xml:space="preserve">In 1962, the Rockefeller Foundation </w:t>
      </w:r>
      <w:r w:rsidR="00CA77BF" w:rsidRPr="001D6905">
        <w:rPr>
          <w:rFonts w:ascii="Times New Roman" w:hAnsi="Times New Roman"/>
        </w:rPr>
        <w:t xml:space="preserve">provided funding and </w:t>
      </w:r>
      <w:r w:rsidRPr="001D6905">
        <w:rPr>
          <w:rFonts w:ascii="Times New Roman" w:hAnsi="Times New Roman"/>
        </w:rPr>
        <w:t>the University of the West Indies</w:t>
      </w:r>
      <w:r w:rsidR="00CA77BF" w:rsidRPr="001D6905">
        <w:rPr>
          <w:rFonts w:ascii="Times New Roman" w:hAnsi="Times New Roman"/>
        </w:rPr>
        <w:t xml:space="preserve"> provided sponsorship for</w:t>
      </w:r>
      <w:r w:rsidRPr="001D6905">
        <w:rPr>
          <w:rFonts w:ascii="Times New Roman" w:hAnsi="Times New Roman"/>
        </w:rPr>
        <w:t xml:space="preserve"> Lomax to record the music of the Lesser Antilles. </w:t>
      </w:r>
      <w:r w:rsidR="00CA77BF" w:rsidRPr="001D6905">
        <w:rPr>
          <w:rFonts w:ascii="Times New Roman" w:hAnsi="Times New Roman"/>
        </w:rPr>
        <w:t>During this six month project</w:t>
      </w:r>
      <w:r w:rsidRPr="001D6905">
        <w:rPr>
          <w:rFonts w:ascii="Times New Roman" w:hAnsi="Times New Roman"/>
        </w:rPr>
        <w:t>, Lomax made 1,859 field recordings and 1,093 documentary photographs</w:t>
      </w:r>
      <w:r w:rsidR="00C44D38" w:rsidRPr="001D6905">
        <w:rPr>
          <w:rFonts w:ascii="Times New Roman" w:hAnsi="Times New Roman"/>
        </w:rPr>
        <w:t>. This collection features</w:t>
      </w:r>
      <w:r w:rsidR="00CA77BF" w:rsidRPr="001D6905">
        <w:rPr>
          <w:rFonts w:ascii="Times New Roman" w:hAnsi="Times New Roman"/>
        </w:rPr>
        <w:t xml:space="preserve"> </w:t>
      </w:r>
      <w:r w:rsidR="00C44D38" w:rsidRPr="001D6905">
        <w:rPr>
          <w:rFonts w:ascii="Times New Roman" w:hAnsi="Times New Roman"/>
        </w:rPr>
        <w:t>recordings and photographs from</w:t>
      </w:r>
      <w:r w:rsidRPr="001D6905">
        <w:rPr>
          <w:rFonts w:ascii="Times New Roman" w:hAnsi="Times New Roman"/>
        </w:rPr>
        <w:t xml:space="preserve"> twelve islands, including</w:t>
      </w:r>
      <w:r w:rsidR="00CA77BF" w:rsidRPr="001D6905">
        <w:rPr>
          <w:rFonts w:ascii="Times New Roman" w:hAnsi="Times New Roman"/>
        </w:rPr>
        <w:t>:</w:t>
      </w:r>
      <w:r w:rsidRPr="001D6905">
        <w:rPr>
          <w:rFonts w:ascii="Times New Roman" w:hAnsi="Times New Roman"/>
        </w:rPr>
        <w:t xml:space="preserve"> </w:t>
      </w:r>
      <w:r w:rsidR="00B76B6F" w:rsidRPr="001D6905">
        <w:rPr>
          <w:rFonts w:ascii="Times New Roman" w:hAnsi="Times New Roman"/>
        </w:rPr>
        <w:t xml:space="preserve">Anguilla, </w:t>
      </w:r>
      <w:r w:rsidRPr="001D6905">
        <w:rPr>
          <w:rFonts w:ascii="Times New Roman" w:hAnsi="Times New Roman"/>
        </w:rPr>
        <w:t xml:space="preserve">Dominica, </w:t>
      </w:r>
      <w:proofErr w:type="spellStart"/>
      <w:r w:rsidR="00B76B6F" w:rsidRPr="001D6905">
        <w:rPr>
          <w:rFonts w:ascii="Times New Roman" w:hAnsi="Times New Roman"/>
        </w:rPr>
        <w:t>Carriacou</w:t>
      </w:r>
      <w:proofErr w:type="spellEnd"/>
      <w:r w:rsidR="00B76B6F" w:rsidRPr="001D6905">
        <w:rPr>
          <w:rFonts w:ascii="Times New Roman" w:hAnsi="Times New Roman"/>
        </w:rPr>
        <w:t xml:space="preserve">, </w:t>
      </w:r>
      <w:r w:rsidRPr="001D6905">
        <w:rPr>
          <w:rFonts w:ascii="Times New Roman" w:hAnsi="Times New Roman"/>
        </w:rPr>
        <w:t xml:space="preserve">Grenada, Guadeloupe, Martinique, St. </w:t>
      </w:r>
      <w:proofErr w:type="spellStart"/>
      <w:r w:rsidRPr="001D6905">
        <w:rPr>
          <w:rFonts w:ascii="Times New Roman" w:hAnsi="Times New Roman"/>
        </w:rPr>
        <w:t>Bart</w:t>
      </w:r>
      <w:r w:rsidR="00B76B6F" w:rsidRPr="001D6905">
        <w:rPr>
          <w:rFonts w:ascii="Times New Roman" w:hAnsi="Times New Roman"/>
        </w:rPr>
        <w:t>helemy</w:t>
      </w:r>
      <w:proofErr w:type="spellEnd"/>
      <w:r w:rsidR="00B76B6F" w:rsidRPr="001D6905">
        <w:rPr>
          <w:rFonts w:ascii="Times New Roman" w:hAnsi="Times New Roman"/>
        </w:rPr>
        <w:t xml:space="preserve">, </w:t>
      </w:r>
      <w:r w:rsidR="00884980" w:rsidRPr="001D6905">
        <w:rPr>
          <w:rFonts w:ascii="Times New Roman" w:hAnsi="Times New Roman"/>
        </w:rPr>
        <w:t>St. Kitts</w:t>
      </w:r>
      <w:r w:rsidRPr="001D6905">
        <w:rPr>
          <w:rFonts w:ascii="Times New Roman" w:hAnsi="Times New Roman"/>
        </w:rPr>
        <w:t xml:space="preserve"> and Nevis</w:t>
      </w:r>
      <w:r w:rsidR="00B76B6F" w:rsidRPr="001D6905">
        <w:rPr>
          <w:rFonts w:ascii="Times New Roman" w:hAnsi="Times New Roman"/>
        </w:rPr>
        <w:t>, St. Lucia, and Trinidad and Tobago</w:t>
      </w:r>
      <w:r w:rsidRPr="001D6905">
        <w:rPr>
          <w:rFonts w:ascii="Times New Roman" w:hAnsi="Times New Roman"/>
        </w:rPr>
        <w:t xml:space="preserve">. </w:t>
      </w:r>
      <w:r w:rsidR="00C44D38" w:rsidRPr="001D6905">
        <w:rPr>
          <w:rFonts w:ascii="Times New Roman" w:hAnsi="Times New Roman"/>
        </w:rPr>
        <w:t>Later in the decade,</w:t>
      </w:r>
      <w:r w:rsidRPr="001D6905">
        <w:rPr>
          <w:rFonts w:ascii="Times New Roman" w:hAnsi="Times New Roman"/>
        </w:rPr>
        <w:t xml:space="preserve"> Lomax made recordings in St. Eustatius and the Dominican Republic.</w:t>
      </w:r>
      <w:r w:rsidR="00E60120" w:rsidRPr="001D6905">
        <w:rPr>
          <w:rFonts w:ascii="Times New Roman" w:hAnsi="Times New Roman"/>
        </w:rPr>
        <w:t xml:space="preserve"> </w:t>
      </w:r>
    </w:p>
    <w:p w:rsidR="00953AA4" w:rsidRPr="001D6905" w:rsidRDefault="00E60120" w:rsidP="00A96E5F">
      <w:pPr>
        <w:spacing w:line="480" w:lineRule="auto"/>
        <w:ind w:firstLine="720"/>
        <w:rPr>
          <w:rFonts w:ascii="Times New Roman" w:hAnsi="Times New Roman"/>
        </w:rPr>
      </w:pPr>
      <w:r w:rsidRPr="001D6905">
        <w:rPr>
          <w:rFonts w:ascii="Times New Roman" w:hAnsi="Times New Roman"/>
        </w:rPr>
        <w:t xml:space="preserve">Lomax’s many thousands of recordings and photographs required reformatting for preservation and access. ACE provided the necessary support for this work. With the materials reformatted for preservation, providing access was the next step. Because the Lomax recordings and photographs were made as field research, the people captured for posterity did not grant permissions for their work or likeness to be used in any sort of wide manner. Further complicating the situation is that these recordings capture not only the work of individual artists, but also the work and heritage of different cultures with the folk tales and traditional music. In order to provide general access, ACE first had to </w:t>
      </w:r>
      <w:r w:rsidRPr="001D6905">
        <w:rPr>
          <w:rFonts w:ascii="Times New Roman" w:hAnsi="Times New Roman"/>
        </w:rPr>
        <w:lastRenderedPageBreak/>
        <w:t xml:space="preserve">provide access to the countries of origin and patrimony. ACE </w:t>
      </w:r>
      <w:r w:rsidR="00136DEB">
        <w:rPr>
          <w:rFonts w:ascii="Times New Roman" w:hAnsi="Times New Roman"/>
        </w:rPr>
        <w:t xml:space="preserve">identified collaborative partners to facilitate repatriation across the Caribbean.  In the case of Haiti, ACE worked </w:t>
      </w:r>
      <w:r w:rsidRPr="001D6905">
        <w:rPr>
          <w:rFonts w:ascii="Times New Roman" w:hAnsi="Times New Roman"/>
        </w:rPr>
        <w:t xml:space="preserve">with the Green Family Foundation to repatriate copies of recordings to the </w:t>
      </w:r>
      <w:r w:rsidR="00136DEB">
        <w:rPr>
          <w:rFonts w:ascii="Times New Roman" w:hAnsi="Times New Roman"/>
        </w:rPr>
        <w:t xml:space="preserve">country of </w:t>
      </w:r>
      <w:proofErr w:type="spellStart"/>
      <w:r w:rsidR="00136DEB">
        <w:rPr>
          <w:rFonts w:ascii="Times New Roman" w:hAnsi="Times New Roman"/>
        </w:rPr>
        <w:t>origin</w:t>
      </w:r>
      <w:r w:rsidRPr="001D6905">
        <w:rPr>
          <w:rFonts w:ascii="Times New Roman" w:hAnsi="Times New Roman"/>
        </w:rPr>
        <w:t>and</w:t>
      </w:r>
      <w:proofErr w:type="spellEnd"/>
      <w:r w:rsidRPr="001D6905">
        <w:rPr>
          <w:rFonts w:ascii="Times New Roman" w:hAnsi="Times New Roman"/>
        </w:rPr>
        <w:t xml:space="preserve"> to promote the recordings as resources locally. </w:t>
      </w:r>
      <w:r w:rsidR="0001788D" w:rsidRPr="001D6905">
        <w:rPr>
          <w:rFonts w:ascii="Times New Roman" w:hAnsi="Times New Roman"/>
        </w:rPr>
        <w:t xml:space="preserve">In April 2010, members of the Green Family Foundation and ACE traveled to Haiti to </w:t>
      </w:r>
      <w:r w:rsidR="00E46A97" w:rsidRPr="001D6905">
        <w:rPr>
          <w:rFonts w:ascii="Times New Roman" w:hAnsi="Times New Roman"/>
        </w:rPr>
        <w:t xml:space="preserve">initiate </w:t>
      </w:r>
      <w:r w:rsidR="0001788D" w:rsidRPr="001D6905">
        <w:rPr>
          <w:rFonts w:ascii="Times New Roman" w:hAnsi="Times New Roman"/>
        </w:rPr>
        <w:t xml:space="preserve">repatriation of </w:t>
      </w:r>
      <w:r w:rsidR="00E46A97" w:rsidRPr="001D6905">
        <w:rPr>
          <w:rFonts w:ascii="Times New Roman" w:hAnsi="Times New Roman"/>
        </w:rPr>
        <w:t>Lomax</w:t>
      </w:r>
      <w:r w:rsidR="0001788D" w:rsidRPr="001D6905">
        <w:rPr>
          <w:rFonts w:ascii="Times New Roman" w:hAnsi="Times New Roman"/>
        </w:rPr>
        <w:t>’s</w:t>
      </w:r>
      <w:r w:rsidR="00E46A97" w:rsidRPr="001D6905">
        <w:rPr>
          <w:rFonts w:ascii="Times New Roman" w:hAnsi="Times New Roman"/>
        </w:rPr>
        <w:t xml:space="preserve"> Haiti recordings</w:t>
      </w:r>
      <w:r w:rsidR="00953AA4" w:rsidRPr="001D6905">
        <w:rPr>
          <w:rFonts w:ascii="Times New Roman" w:hAnsi="Times New Roman"/>
        </w:rPr>
        <w:t xml:space="preserve"> and widespread outreach that </w:t>
      </w:r>
      <w:r w:rsidR="00136DEB">
        <w:rPr>
          <w:rFonts w:ascii="Times New Roman" w:hAnsi="Times New Roman"/>
        </w:rPr>
        <w:t xml:space="preserve">so far has </w:t>
      </w:r>
      <w:r w:rsidR="00953AA4" w:rsidRPr="001D6905">
        <w:rPr>
          <w:rFonts w:ascii="Times New Roman" w:hAnsi="Times New Roman"/>
        </w:rPr>
        <w:t>reached over 250,000 people</w:t>
      </w:r>
      <w:r w:rsidR="00E46A97" w:rsidRPr="001D6905">
        <w:rPr>
          <w:rFonts w:ascii="Times New Roman" w:hAnsi="Times New Roman"/>
        </w:rPr>
        <w:t>.</w:t>
      </w:r>
    </w:p>
    <w:p w:rsidR="007C3B66" w:rsidRDefault="00953AA4" w:rsidP="00A96E5F">
      <w:pPr>
        <w:spacing w:line="480" w:lineRule="auto"/>
        <w:ind w:firstLine="720"/>
        <w:rPr>
          <w:rFonts w:ascii="Times New Roman" w:hAnsi="Times New Roman"/>
        </w:rPr>
      </w:pPr>
      <w:r w:rsidRPr="001D6905">
        <w:rPr>
          <w:rFonts w:ascii="Times New Roman" w:hAnsi="Times New Roman"/>
        </w:rPr>
        <w:t>The Green Family Foundation is also supporting a dLOC project for an online exhibit on Haiti’s history entitled “Haiti: An Isl</w:t>
      </w:r>
      <w:r w:rsidR="00136DEB">
        <w:rPr>
          <w:rFonts w:ascii="Times New Roman" w:hAnsi="Times New Roman"/>
        </w:rPr>
        <w:t>and</w:t>
      </w:r>
      <w:r w:rsidRPr="001D6905">
        <w:rPr>
          <w:rFonts w:ascii="Times New Roman" w:hAnsi="Times New Roman"/>
        </w:rPr>
        <w:t xml:space="preserve"> Luminous.” The Green Family Foundation served as a collaborative bridge to connect ACE and dLOC. While some of the Lomax recordings have been repatriated, more re</w:t>
      </w:r>
      <w:r w:rsidR="005367B4">
        <w:rPr>
          <w:rFonts w:ascii="Times New Roman" w:hAnsi="Times New Roman"/>
        </w:rPr>
        <w:t>main and are in process.</w:t>
      </w:r>
      <w:r w:rsidRPr="001D6905">
        <w:rPr>
          <w:rFonts w:ascii="Times New Roman" w:hAnsi="Times New Roman"/>
        </w:rPr>
        <w:t xml:space="preserve">  ACE also needed to find a method for supporting </w:t>
      </w:r>
      <w:r w:rsidR="00136DEB">
        <w:rPr>
          <w:rFonts w:ascii="Times New Roman" w:hAnsi="Times New Roman"/>
        </w:rPr>
        <w:t xml:space="preserve">online access to </w:t>
      </w:r>
      <w:r w:rsidRPr="001D6905">
        <w:rPr>
          <w:rFonts w:ascii="Times New Roman" w:hAnsi="Times New Roman"/>
        </w:rPr>
        <w:t xml:space="preserve">the photographs because </w:t>
      </w:r>
      <w:r w:rsidR="00136DEB">
        <w:rPr>
          <w:rFonts w:ascii="Times New Roman" w:hAnsi="Times New Roman"/>
        </w:rPr>
        <w:t xml:space="preserve">their site </w:t>
      </w:r>
      <w:r w:rsidRPr="001D6905">
        <w:rPr>
          <w:rFonts w:ascii="Times New Roman" w:hAnsi="Times New Roman"/>
        </w:rPr>
        <w:t xml:space="preserve">was designed to support the recordings as the primary goal, with the photographs as a future concern. While the Lomax recordings did not begin with a digital library community, ACE joined the dLOC community and the two are collaborating to share the Lomax photographs openly online, promote the Lomax recordings, and conduct outreach to artists and their heirs to further share the recordings that are rich examples of cultural heritage and individual artistic work. </w:t>
      </w:r>
      <w:r w:rsidR="005179C7" w:rsidRPr="001D6905">
        <w:rPr>
          <w:rFonts w:ascii="Times New Roman" w:hAnsi="Times New Roman"/>
        </w:rPr>
        <w:t xml:space="preserve"> The evolution of the Lomax project shows how digital library communities can aid in disaster preparedness and mitigation for existing projects that originate outside of library communities. </w:t>
      </w:r>
    </w:p>
    <w:p w:rsidR="00592780" w:rsidRPr="001D6905" w:rsidRDefault="00592780" w:rsidP="00A96E5F">
      <w:pPr>
        <w:spacing w:line="480" w:lineRule="auto"/>
        <w:ind w:firstLine="720"/>
        <w:rPr>
          <w:rFonts w:ascii="Times New Roman" w:hAnsi="Times New Roman"/>
        </w:rPr>
      </w:pPr>
    </w:p>
    <w:p w:rsidR="007C3B66" w:rsidRPr="001D6905" w:rsidRDefault="005412DE" w:rsidP="00A96E5F">
      <w:pPr>
        <w:spacing w:line="480" w:lineRule="auto"/>
        <w:rPr>
          <w:rFonts w:ascii="Times New Roman" w:hAnsi="Times New Roman"/>
          <w:b/>
        </w:rPr>
      </w:pPr>
      <w:r w:rsidRPr="001D6905">
        <w:rPr>
          <w:rFonts w:ascii="Times New Roman" w:hAnsi="Times New Roman"/>
          <w:b/>
        </w:rPr>
        <w:t>Conclusion</w:t>
      </w:r>
    </w:p>
    <w:p w:rsidR="00966962" w:rsidRPr="001D6905" w:rsidRDefault="007C3B66" w:rsidP="00D96F55">
      <w:pPr>
        <w:spacing w:line="480" w:lineRule="auto"/>
        <w:ind w:firstLine="720"/>
        <w:rPr>
          <w:rFonts w:ascii="Times New Roman" w:hAnsi="Times New Roman"/>
        </w:rPr>
      </w:pPr>
      <w:r w:rsidRPr="001D6905">
        <w:rPr>
          <w:rFonts w:ascii="Times New Roman" w:hAnsi="Times New Roman"/>
        </w:rPr>
        <w:t xml:space="preserve">In digital libraries, technology is always in service of the overall goals which include preservation and access. Because of the scale of digital library work and the </w:t>
      </w:r>
      <w:r w:rsidRPr="001D6905">
        <w:rPr>
          <w:rFonts w:ascii="Times New Roman" w:hAnsi="Times New Roman"/>
        </w:rPr>
        <w:lastRenderedPageBreak/>
        <w:t xml:space="preserve">evolving technologies in use, digital libraries are best defined by the shared goals of their communities as they work together. For disaster response, digital libraries have continued and expanded upon traditional library roles. Digital libraries have developed new project models and new collaborations. Further, digital libraries continue to develop new methods and means to support preservation and access as part of the ongoing support for the lifecycle of information. In doing so, digital library communities are active participants in all aspects of disaster preparedness, mitigation, and the development of new ideas to better support the entire process. </w:t>
      </w:r>
      <w:r w:rsidR="00966962" w:rsidRPr="001D6905">
        <w:rPr>
          <w:rFonts w:ascii="Times New Roman" w:hAnsi="Times New Roman"/>
        </w:rPr>
        <w:t xml:space="preserve">Many digital library communities also provide information resources on the role of libraries in disaster preparedness and mitigation, as with Caribbean Disaster Information Network (CARDIN) and dLOC. </w:t>
      </w:r>
    </w:p>
    <w:p w:rsidR="007C3B66" w:rsidRDefault="007C3B66" w:rsidP="00D96F55">
      <w:pPr>
        <w:spacing w:line="480" w:lineRule="auto"/>
        <w:ind w:firstLine="720"/>
        <w:rPr>
          <w:rFonts w:ascii="Times New Roman" w:hAnsi="Times New Roman"/>
        </w:rPr>
      </w:pPr>
      <w:r w:rsidRPr="001D6905">
        <w:rPr>
          <w:rFonts w:ascii="Times New Roman" w:hAnsi="Times New Roman"/>
        </w:rPr>
        <w:t xml:space="preserve">Existing needs include supporting both the preservation and access. The needs related to access are not yet fully defined. For instance, the Lomax project is particularly striking because its materials were in danger of being lost through the disaster of being unknown. Digital library communities serve a pivotal role in disaster preparedness and mitigation for both commonly considered disasters and the unexpected disasters that will occur from neglect and a lack of remembering. The Lomax recordings could have been lost, despite their status as cultural treasures, from a lack of knowledge about the recordings. The role of digital library communities in curatorial work will continue to expand. For materials in need of preservation, all too often their histories need to be found and documented. </w:t>
      </w:r>
      <w:r w:rsidR="00517E06" w:rsidRPr="001D6905">
        <w:rPr>
          <w:rFonts w:ascii="Times New Roman" w:hAnsi="Times New Roman"/>
        </w:rPr>
        <w:t xml:space="preserve">This contextual information </w:t>
      </w:r>
      <w:r w:rsidRPr="001D6905">
        <w:rPr>
          <w:rFonts w:ascii="Times New Roman" w:hAnsi="Times New Roman"/>
        </w:rPr>
        <w:t xml:space="preserve">provides the </w:t>
      </w:r>
      <w:r w:rsidR="00517E06" w:rsidRPr="001D6905">
        <w:rPr>
          <w:rFonts w:ascii="Times New Roman" w:hAnsi="Times New Roman"/>
        </w:rPr>
        <w:t xml:space="preserve">necessary </w:t>
      </w:r>
      <w:r w:rsidRPr="001D6905">
        <w:rPr>
          <w:rFonts w:ascii="Times New Roman" w:hAnsi="Times New Roman"/>
        </w:rPr>
        <w:t xml:space="preserve">means for understanding and using the </w:t>
      </w:r>
      <w:r w:rsidR="00517E06" w:rsidRPr="001D6905">
        <w:rPr>
          <w:rFonts w:ascii="Times New Roman" w:hAnsi="Times New Roman"/>
        </w:rPr>
        <w:t>primary documents. Without the historical context and supports,</w:t>
      </w:r>
      <w:r w:rsidRPr="001D6905">
        <w:rPr>
          <w:rFonts w:ascii="Times New Roman" w:hAnsi="Times New Roman"/>
        </w:rPr>
        <w:t xml:space="preserve"> the materials can be </w:t>
      </w:r>
      <w:r w:rsidR="00517E06" w:rsidRPr="001D6905">
        <w:rPr>
          <w:rFonts w:ascii="Times New Roman" w:hAnsi="Times New Roman"/>
        </w:rPr>
        <w:t xml:space="preserve">rendered </w:t>
      </w:r>
      <w:r w:rsidRPr="001D6905">
        <w:rPr>
          <w:rFonts w:ascii="Times New Roman" w:hAnsi="Times New Roman"/>
        </w:rPr>
        <w:t xml:space="preserve">inaccessible </w:t>
      </w:r>
      <w:r w:rsidR="00517E06" w:rsidRPr="001D6905">
        <w:rPr>
          <w:rFonts w:ascii="Times New Roman" w:hAnsi="Times New Roman"/>
        </w:rPr>
        <w:t xml:space="preserve">from the lack of connection, even if the primary materials are openly and freely available online. Digital library communities </w:t>
      </w:r>
      <w:r w:rsidR="00517E06" w:rsidRPr="001D6905">
        <w:rPr>
          <w:rFonts w:ascii="Times New Roman" w:hAnsi="Times New Roman"/>
        </w:rPr>
        <w:lastRenderedPageBreak/>
        <w:t xml:space="preserve">provide the libraries in their communities with needed connections and supports so, too, must digital libraries provide connections and supports for the primary materials they contain. </w:t>
      </w:r>
    </w:p>
    <w:p w:rsidR="00180C50" w:rsidRPr="001D6905" w:rsidRDefault="00180C50" w:rsidP="00D96F55">
      <w:pPr>
        <w:spacing w:line="480" w:lineRule="auto"/>
        <w:ind w:firstLine="720"/>
        <w:rPr>
          <w:rFonts w:ascii="Times New Roman" w:hAnsi="Times New Roman"/>
        </w:rPr>
      </w:pPr>
    </w:p>
    <w:p w:rsidR="001D6905" w:rsidRPr="001D6905" w:rsidRDefault="00296DD9" w:rsidP="00A96E5F">
      <w:pPr>
        <w:spacing w:line="480" w:lineRule="auto"/>
        <w:rPr>
          <w:rFonts w:ascii="Times New Roman" w:hAnsi="Times New Roman"/>
          <w:b/>
        </w:rPr>
      </w:pPr>
      <w:r>
        <w:rPr>
          <w:rFonts w:ascii="Times New Roman" w:hAnsi="Times New Roman"/>
          <w:b/>
        </w:rPr>
        <w:t>Works Cited</w:t>
      </w:r>
    </w:p>
    <w:p w:rsidR="00662520" w:rsidRPr="00662520" w:rsidRDefault="00662520" w:rsidP="00A96E5F">
      <w:pPr>
        <w:spacing w:line="480" w:lineRule="auto"/>
        <w:rPr>
          <w:rFonts w:ascii="Times New Roman" w:hAnsi="Times New Roman"/>
          <w:i/>
        </w:rPr>
      </w:pPr>
      <w:proofErr w:type="gramStart"/>
      <w:r>
        <w:rPr>
          <w:rFonts w:ascii="Times New Roman" w:hAnsi="Times New Roman"/>
        </w:rPr>
        <w:t>“Association for Cultural Equity Digital Collection.”</w:t>
      </w:r>
      <w:proofErr w:type="gramEnd"/>
      <w:r>
        <w:rPr>
          <w:rFonts w:ascii="Times New Roman" w:hAnsi="Times New Roman"/>
        </w:rPr>
        <w:t xml:space="preserve"> </w:t>
      </w:r>
      <w:r w:rsidRPr="00662520">
        <w:rPr>
          <w:rFonts w:ascii="Times New Roman" w:hAnsi="Times New Roman"/>
          <w:i/>
        </w:rPr>
        <w:t xml:space="preserve">Digital Library of the Caribbean </w:t>
      </w:r>
    </w:p>
    <w:p w:rsidR="007A57AF" w:rsidRDefault="00662520" w:rsidP="007A57AF">
      <w:pPr>
        <w:spacing w:line="480" w:lineRule="auto"/>
        <w:ind w:firstLine="720"/>
        <w:rPr>
          <w:rFonts w:ascii="Times New Roman" w:hAnsi="Times New Roman"/>
        </w:rPr>
      </w:pPr>
      <w:r w:rsidRPr="00662520">
        <w:rPr>
          <w:rFonts w:ascii="Times New Roman" w:hAnsi="Times New Roman"/>
          <w:i/>
        </w:rPr>
        <w:t>(</w:t>
      </w:r>
      <w:proofErr w:type="gramStart"/>
      <w:r w:rsidRPr="00662520">
        <w:rPr>
          <w:rFonts w:ascii="Times New Roman" w:hAnsi="Times New Roman"/>
          <w:i/>
        </w:rPr>
        <w:t>dLOC</w:t>
      </w:r>
      <w:proofErr w:type="gramEnd"/>
      <w:r w:rsidRPr="00662520">
        <w:rPr>
          <w:rFonts w:ascii="Times New Roman" w:hAnsi="Times New Roman"/>
          <w:i/>
        </w:rPr>
        <w:t>)</w:t>
      </w:r>
      <w:r>
        <w:rPr>
          <w:rFonts w:ascii="Times New Roman" w:hAnsi="Times New Roman"/>
        </w:rPr>
        <w:t xml:space="preserve"> </w:t>
      </w:r>
      <w:hyperlink r:id="rId9" w:history="1">
        <w:r w:rsidRPr="00E154A1">
          <w:rPr>
            <w:rStyle w:val="Hyperlink"/>
            <w:rFonts w:ascii="Times New Roman" w:hAnsi="Times New Roman"/>
          </w:rPr>
          <w:t>http://www.dloc.com/iace</w:t>
        </w:r>
      </w:hyperlink>
      <w:r>
        <w:rPr>
          <w:rFonts w:ascii="Times New Roman" w:hAnsi="Times New Roman"/>
        </w:rPr>
        <w:t xml:space="preserve"> </w:t>
      </w:r>
    </w:p>
    <w:p w:rsidR="001D6905" w:rsidRPr="001D6905" w:rsidRDefault="001D6905" w:rsidP="00A96E5F">
      <w:pPr>
        <w:spacing w:line="480" w:lineRule="auto"/>
        <w:rPr>
          <w:rFonts w:ascii="Times New Roman" w:hAnsi="Times New Roman"/>
        </w:rPr>
      </w:pPr>
      <w:proofErr w:type="gramStart"/>
      <w:r w:rsidRPr="001D6905">
        <w:rPr>
          <w:rFonts w:ascii="Times New Roman" w:hAnsi="Times New Roman"/>
        </w:rPr>
        <w:t>Blue Ribbon Task Force on Sustainable Digital Preservation and Access.</w:t>
      </w:r>
      <w:proofErr w:type="gramEnd"/>
    </w:p>
    <w:p w:rsidR="0006669D" w:rsidRPr="001D6905" w:rsidRDefault="001D6905" w:rsidP="00A96E5F">
      <w:pPr>
        <w:spacing w:line="480" w:lineRule="auto"/>
        <w:ind w:left="720"/>
        <w:rPr>
          <w:rFonts w:ascii="Times New Roman" w:hAnsi="Times New Roman"/>
        </w:rPr>
      </w:pPr>
      <w:r w:rsidRPr="001D6905">
        <w:rPr>
          <w:rFonts w:ascii="Times New Roman" w:hAnsi="Times New Roman"/>
          <w:i/>
        </w:rPr>
        <w:t xml:space="preserve">Sustainable Economics for a Digital Planet Ensuring Long-Term Access to Digital Information: Final Report of the Blue Ribbon Task Force on Sustainable Digital Preservation and Access. </w:t>
      </w:r>
      <w:r w:rsidRPr="001D6905">
        <w:rPr>
          <w:rFonts w:ascii="Times New Roman" w:hAnsi="Times New Roman"/>
        </w:rPr>
        <w:t>Feb. 2010. Washington, DC. 1 May 2011 &lt;</w:t>
      </w:r>
      <w:hyperlink r:id="rId10" w:history="1">
        <w:r w:rsidR="0006669D" w:rsidRPr="001D6905">
          <w:rPr>
            <w:rStyle w:val="Hyperlink"/>
            <w:rFonts w:ascii="Times New Roman" w:hAnsi="Times New Roman"/>
          </w:rPr>
          <w:t>http://brtf.sdsc.edu/publications.html</w:t>
        </w:r>
      </w:hyperlink>
      <w:r w:rsidRPr="001D6905">
        <w:rPr>
          <w:rFonts w:ascii="Times New Roman" w:hAnsi="Times New Roman"/>
        </w:rPr>
        <w:t>&gt;.</w:t>
      </w:r>
    </w:p>
    <w:p w:rsidR="00A96E5F" w:rsidRDefault="001D6905" w:rsidP="00A96E5F">
      <w:pPr>
        <w:spacing w:line="480" w:lineRule="auto"/>
        <w:rPr>
          <w:rFonts w:ascii="Times New Roman" w:hAnsi="Times New Roman"/>
        </w:rPr>
      </w:pPr>
      <w:proofErr w:type="gramStart"/>
      <w:r w:rsidRPr="001D6905">
        <w:rPr>
          <w:rFonts w:ascii="Times New Roman" w:hAnsi="Times New Roman"/>
        </w:rPr>
        <w:t>Caribbean Disaster Infor</w:t>
      </w:r>
      <w:r>
        <w:rPr>
          <w:rFonts w:ascii="Times New Roman" w:hAnsi="Times New Roman"/>
        </w:rPr>
        <w:t>mation Network (CARDIN).</w:t>
      </w:r>
      <w:proofErr w:type="gramEnd"/>
      <w:r>
        <w:rPr>
          <w:rFonts w:ascii="Times New Roman" w:hAnsi="Times New Roman"/>
        </w:rPr>
        <w:t xml:space="preserve"> </w:t>
      </w:r>
      <w:proofErr w:type="gramStart"/>
      <w:r>
        <w:rPr>
          <w:rFonts w:ascii="Times New Roman" w:hAnsi="Times New Roman"/>
        </w:rPr>
        <w:t>University of the West Indies.</w:t>
      </w:r>
      <w:proofErr w:type="gramEnd"/>
      <w:r>
        <w:rPr>
          <w:rFonts w:ascii="Times New Roman" w:hAnsi="Times New Roman"/>
        </w:rPr>
        <w:t xml:space="preserve"> </w:t>
      </w:r>
    </w:p>
    <w:p w:rsidR="001D6905" w:rsidRDefault="001D6905" w:rsidP="00A96E5F">
      <w:pPr>
        <w:spacing w:line="480" w:lineRule="auto"/>
        <w:ind w:firstLine="720"/>
        <w:rPr>
          <w:rFonts w:ascii="Times New Roman" w:hAnsi="Times New Roman"/>
        </w:rPr>
      </w:pPr>
      <w:r>
        <w:rPr>
          <w:rFonts w:ascii="Times New Roman" w:hAnsi="Times New Roman"/>
        </w:rPr>
        <w:t>Mona, Jamaica. 1 May 2011</w:t>
      </w:r>
      <w:r w:rsidRPr="001D6905">
        <w:rPr>
          <w:rFonts w:ascii="Times New Roman" w:hAnsi="Times New Roman"/>
        </w:rPr>
        <w:t xml:space="preserve"> </w:t>
      </w:r>
      <w:r>
        <w:rPr>
          <w:rFonts w:ascii="Times New Roman" w:hAnsi="Times New Roman"/>
        </w:rPr>
        <w:t>&lt;</w:t>
      </w:r>
      <w:hyperlink r:id="rId11" w:history="1">
        <w:r w:rsidRPr="001D6905">
          <w:rPr>
            <w:rStyle w:val="Hyperlink"/>
            <w:rFonts w:ascii="Times New Roman" w:hAnsi="Times New Roman"/>
          </w:rPr>
          <w:t>http://www.mona.uw</w:t>
        </w:r>
        <w:r w:rsidRPr="001D6905">
          <w:rPr>
            <w:rStyle w:val="Hyperlink"/>
            <w:rFonts w:ascii="Times New Roman" w:hAnsi="Times New Roman"/>
          </w:rPr>
          <w:t>i</w:t>
        </w:r>
        <w:r w:rsidRPr="001D6905">
          <w:rPr>
            <w:rStyle w:val="Hyperlink"/>
            <w:rFonts w:ascii="Times New Roman" w:hAnsi="Times New Roman"/>
          </w:rPr>
          <w:t>.edu/cardin</w:t>
        </w:r>
      </w:hyperlink>
      <w:hyperlink r:id="rId12" w:history="1">
        <w:r w:rsidRPr="001D6905">
          <w:rPr>
            <w:rStyle w:val="Hyperlink"/>
            <w:rFonts w:ascii="Times New Roman" w:hAnsi="Times New Roman"/>
          </w:rPr>
          <w:t>/</w:t>
        </w:r>
      </w:hyperlink>
      <w:r>
        <w:rPr>
          <w:rFonts w:ascii="Times New Roman" w:hAnsi="Times New Roman"/>
        </w:rPr>
        <w:t>&gt;.</w:t>
      </w:r>
    </w:p>
    <w:p w:rsidR="00A96E5F" w:rsidRDefault="00E468BA" w:rsidP="00A96E5F">
      <w:pPr>
        <w:spacing w:line="480" w:lineRule="auto"/>
        <w:rPr>
          <w:rFonts w:ascii="Times New Roman" w:hAnsi="Times New Roman"/>
        </w:rPr>
      </w:pPr>
      <w:proofErr w:type="gramStart"/>
      <w:r w:rsidRPr="001D6905">
        <w:rPr>
          <w:rFonts w:ascii="Times New Roman" w:hAnsi="Times New Roman"/>
        </w:rPr>
        <w:t>Committee f</w:t>
      </w:r>
      <w:r w:rsidR="0006669D" w:rsidRPr="001D6905">
        <w:rPr>
          <w:rFonts w:ascii="Times New Roman" w:hAnsi="Times New Roman"/>
        </w:rPr>
        <w:t>or Film Preservation and Public Access.</w:t>
      </w:r>
      <w:proofErr w:type="gramEnd"/>
      <w:r w:rsidR="0006669D" w:rsidRPr="001D6905">
        <w:rPr>
          <w:rFonts w:ascii="Times New Roman" w:hAnsi="Times New Roman"/>
        </w:rPr>
        <w:t xml:space="preserve"> “Statement by </w:t>
      </w:r>
      <w:proofErr w:type="gramStart"/>
      <w:r w:rsidR="0006669D" w:rsidRPr="001D6905">
        <w:rPr>
          <w:rFonts w:ascii="Times New Roman" w:hAnsi="Times New Roman"/>
        </w:rPr>
        <w:t>The</w:t>
      </w:r>
      <w:proofErr w:type="gramEnd"/>
      <w:r w:rsidR="0006669D" w:rsidRPr="001D6905">
        <w:rPr>
          <w:rFonts w:ascii="Times New Roman" w:hAnsi="Times New Roman"/>
        </w:rPr>
        <w:t xml:space="preserve"> Committee For </w:t>
      </w:r>
    </w:p>
    <w:p w:rsidR="00A96E5F" w:rsidRDefault="0006669D" w:rsidP="00A96E5F">
      <w:pPr>
        <w:spacing w:line="480" w:lineRule="auto"/>
        <w:ind w:firstLine="720"/>
        <w:rPr>
          <w:rFonts w:ascii="Times New Roman" w:hAnsi="Times New Roman"/>
        </w:rPr>
      </w:pPr>
      <w:r w:rsidRPr="001D6905">
        <w:rPr>
          <w:rFonts w:ascii="Times New Roman" w:hAnsi="Times New Roman"/>
        </w:rPr>
        <w:t xml:space="preserve">Film Preservation and Public Access before </w:t>
      </w:r>
      <w:proofErr w:type="gramStart"/>
      <w:r w:rsidRPr="001D6905">
        <w:rPr>
          <w:rFonts w:ascii="Times New Roman" w:hAnsi="Times New Roman"/>
        </w:rPr>
        <w:t>The</w:t>
      </w:r>
      <w:proofErr w:type="gramEnd"/>
      <w:r w:rsidRPr="001D6905">
        <w:rPr>
          <w:rFonts w:ascii="Times New Roman" w:hAnsi="Times New Roman"/>
        </w:rPr>
        <w:t xml:space="preserve"> National Film Preservation </w:t>
      </w:r>
    </w:p>
    <w:p w:rsidR="001B4446" w:rsidRPr="00785C7A" w:rsidRDefault="0006669D" w:rsidP="00A96E5F">
      <w:pPr>
        <w:spacing w:line="480" w:lineRule="auto"/>
        <w:ind w:left="720"/>
        <w:rPr>
          <w:rFonts w:ascii="Times New Roman" w:hAnsi="Times New Roman"/>
          <w:lang w:val="es-CO"/>
        </w:rPr>
      </w:pPr>
      <w:proofErr w:type="gramStart"/>
      <w:r w:rsidRPr="001D6905">
        <w:rPr>
          <w:rFonts w:ascii="Times New Roman" w:hAnsi="Times New Roman"/>
        </w:rPr>
        <w:t>Board of the Library of Congress.”</w:t>
      </w:r>
      <w:proofErr w:type="gramEnd"/>
      <w:r w:rsidRPr="001D6905">
        <w:rPr>
          <w:rFonts w:ascii="Times New Roman" w:hAnsi="Times New Roman"/>
        </w:rPr>
        <w:t xml:space="preserve"> </w:t>
      </w:r>
      <w:r w:rsidRPr="00785C7A">
        <w:rPr>
          <w:rFonts w:ascii="Times New Roman" w:hAnsi="Times New Roman"/>
          <w:lang w:val="es-CO"/>
        </w:rPr>
        <w:t xml:space="preserve">12 Feb. 1993. Los </w:t>
      </w:r>
      <w:proofErr w:type="spellStart"/>
      <w:r w:rsidRPr="00785C7A">
        <w:rPr>
          <w:rFonts w:ascii="Times New Roman" w:hAnsi="Times New Roman"/>
          <w:lang w:val="es-CO"/>
        </w:rPr>
        <w:t>Angeles</w:t>
      </w:r>
      <w:proofErr w:type="spellEnd"/>
      <w:r w:rsidRPr="00785C7A">
        <w:rPr>
          <w:rFonts w:ascii="Times New Roman" w:hAnsi="Times New Roman"/>
          <w:lang w:val="es-CO"/>
        </w:rPr>
        <w:t>, California. 1 May 2011 &lt;</w:t>
      </w:r>
      <w:hyperlink r:id="rId13" w:history="1">
        <w:r w:rsidRPr="00785C7A">
          <w:rPr>
            <w:rStyle w:val="Hyperlink"/>
            <w:rFonts w:ascii="Times New Roman" w:hAnsi="Times New Roman"/>
            <w:lang w:val="es-CO"/>
          </w:rPr>
          <w:t>http://www.cinemaweb.com/access</w:t>
        </w:r>
        <w:r w:rsidRPr="00785C7A">
          <w:rPr>
            <w:rStyle w:val="Hyperlink"/>
            <w:rFonts w:ascii="Times New Roman" w:hAnsi="Times New Roman"/>
            <w:lang w:val="es-CO"/>
          </w:rPr>
          <w:t>/</w:t>
        </w:r>
        <w:r w:rsidRPr="00785C7A">
          <w:rPr>
            <w:rStyle w:val="Hyperlink"/>
            <w:rFonts w:ascii="Times New Roman" w:hAnsi="Times New Roman"/>
            <w:lang w:val="es-CO"/>
          </w:rPr>
          <w:t>pre_stmt.htm</w:t>
        </w:r>
      </w:hyperlink>
      <w:r w:rsidRPr="00785C7A">
        <w:rPr>
          <w:rFonts w:ascii="Times New Roman" w:hAnsi="Times New Roman"/>
          <w:lang w:val="es-CO"/>
        </w:rPr>
        <w:t xml:space="preserve">&gt;. </w:t>
      </w:r>
    </w:p>
    <w:p w:rsidR="00A96E5F" w:rsidRDefault="0006669D" w:rsidP="00A96E5F">
      <w:pPr>
        <w:spacing w:line="480" w:lineRule="auto"/>
        <w:rPr>
          <w:rFonts w:ascii="Times New Roman" w:hAnsi="Times New Roman"/>
          <w:i/>
        </w:rPr>
      </w:pPr>
      <w:proofErr w:type="gramStart"/>
      <w:r w:rsidRPr="001D6905">
        <w:rPr>
          <w:rFonts w:ascii="Times New Roman" w:hAnsi="Times New Roman"/>
        </w:rPr>
        <w:t>Digital Library of the Caribbean.</w:t>
      </w:r>
      <w:proofErr w:type="gramEnd"/>
      <w:r w:rsidRPr="001D6905">
        <w:rPr>
          <w:rFonts w:ascii="Times New Roman" w:hAnsi="Times New Roman"/>
        </w:rPr>
        <w:t xml:space="preserve"> </w:t>
      </w:r>
      <w:proofErr w:type="gramStart"/>
      <w:r w:rsidR="001C7F49" w:rsidRPr="001D6905">
        <w:rPr>
          <w:rFonts w:ascii="Times New Roman" w:hAnsi="Times New Roman"/>
          <w:i/>
        </w:rPr>
        <w:t>Digital Library of the Caribbean (</w:t>
      </w:r>
      <w:r w:rsidR="001B4446" w:rsidRPr="001D6905">
        <w:rPr>
          <w:rFonts w:ascii="Times New Roman" w:hAnsi="Times New Roman"/>
          <w:i/>
        </w:rPr>
        <w:t>dLOC</w:t>
      </w:r>
      <w:r w:rsidR="001C7F49" w:rsidRPr="001D6905">
        <w:rPr>
          <w:rFonts w:ascii="Times New Roman" w:hAnsi="Times New Roman"/>
          <w:i/>
        </w:rPr>
        <w:t>)</w:t>
      </w:r>
      <w:r w:rsidR="001B4446" w:rsidRPr="001D6905">
        <w:rPr>
          <w:rFonts w:ascii="Times New Roman" w:hAnsi="Times New Roman"/>
          <w:i/>
        </w:rPr>
        <w:t xml:space="preserve"> Fact Sheet.</w:t>
      </w:r>
      <w:proofErr w:type="gramEnd"/>
      <w:r w:rsidR="00661BF2" w:rsidRPr="001D6905">
        <w:rPr>
          <w:rFonts w:ascii="Times New Roman" w:hAnsi="Times New Roman"/>
          <w:i/>
        </w:rPr>
        <w:t xml:space="preserve"> </w:t>
      </w:r>
    </w:p>
    <w:p w:rsidR="001B4446" w:rsidRPr="001D6905" w:rsidRDefault="0006669D" w:rsidP="00A96E5F">
      <w:pPr>
        <w:spacing w:line="480" w:lineRule="auto"/>
        <w:ind w:firstLine="720"/>
        <w:rPr>
          <w:rFonts w:ascii="Times New Roman" w:hAnsi="Times New Roman"/>
        </w:rPr>
      </w:pPr>
      <w:proofErr w:type="gramStart"/>
      <w:r w:rsidRPr="001D6905">
        <w:rPr>
          <w:rFonts w:ascii="Times New Roman" w:hAnsi="Times New Roman"/>
        </w:rPr>
        <w:t xml:space="preserve">Miami, FL. 1 May 2011 </w:t>
      </w:r>
      <w:r w:rsidR="00661BF2" w:rsidRPr="001D6905">
        <w:rPr>
          <w:rFonts w:ascii="Times New Roman" w:hAnsi="Times New Roman"/>
        </w:rPr>
        <w:t>&lt;http://dloc.com/AA00001499/&gt;</w:t>
      </w:r>
      <w:r w:rsidRPr="001D6905">
        <w:rPr>
          <w:rFonts w:ascii="Times New Roman" w:hAnsi="Times New Roman"/>
        </w:rPr>
        <w:t>.</w:t>
      </w:r>
      <w:proofErr w:type="gramEnd"/>
    </w:p>
    <w:p w:rsidR="00A96E5F" w:rsidRDefault="00B33901" w:rsidP="00A96E5F">
      <w:pPr>
        <w:spacing w:line="480" w:lineRule="auto"/>
        <w:rPr>
          <w:rFonts w:ascii="Times New Roman" w:hAnsi="Times New Roman"/>
        </w:rPr>
      </w:pPr>
      <w:proofErr w:type="gramStart"/>
      <w:r>
        <w:rPr>
          <w:rFonts w:ascii="Times New Roman" w:hAnsi="Times New Roman"/>
        </w:rPr>
        <w:t>Law Library Microform Consortium (LLMC).</w:t>
      </w:r>
      <w:proofErr w:type="gramEnd"/>
      <w:r>
        <w:rPr>
          <w:rFonts w:ascii="Times New Roman" w:hAnsi="Times New Roman"/>
        </w:rPr>
        <w:t xml:space="preserve"> “</w:t>
      </w:r>
      <w:r w:rsidRPr="00B33901">
        <w:rPr>
          <w:rFonts w:ascii="Times New Roman" w:hAnsi="Times New Roman"/>
        </w:rPr>
        <w:t>The Haiti Legal Patrimony Pr</w:t>
      </w:r>
      <w:r>
        <w:rPr>
          <w:rFonts w:ascii="Times New Roman" w:hAnsi="Times New Roman"/>
        </w:rPr>
        <w:t xml:space="preserve">oject – </w:t>
      </w:r>
    </w:p>
    <w:p w:rsidR="001B4446" w:rsidRDefault="00B33901" w:rsidP="00A96E5F">
      <w:pPr>
        <w:spacing w:line="480" w:lineRule="auto"/>
        <w:ind w:left="720"/>
        <w:rPr>
          <w:rFonts w:ascii="Times New Roman" w:hAnsi="Times New Roman"/>
        </w:rPr>
      </w:pPr>
      <w:proofErr w:type="gramStart"/>
      <w:r>
        <w:rPr>
          <w:rFonts w:ascii="Times New Roman" w:hAnsi="Times New Roman"/>
        </w:rPr>
        <w:t>Model and Implementation</w:t>
      </w:r>
      <w:r w:rsidR="005E7563" w:rsidRPr="001D6905">
        <w:rPr>
          <w:rFonts w:ascii="Times New Roman" w:hAnsi="Times New Roman"/>
        </w:rPr>
        <w:t>.”</w:t>
      </w:r>
      <w:proofErr w:type="gramEnd"/>
      <w:r w:rsidR="005E7563" w:rsidRPr="001D6905">
        <w:rPr>
          <w:rFonts w:ascii="Times New Roman" w:hAnsi="Times New Roman"/>
        </w:rPr>
        <w:t xml:space="preserve"> </w:t>
      </w:r>
      <w:proofErr w:type="gramStart"/>
      <w:r w:rsidR="006731D6">
        <w:rPr>
          <w:rFonts w:ascii="Times New Roman" w:hAnsi="Times New Roman"/>
        </w:rPr>
        <w:t>Law Library Microform Consortium (LLMC).</w:t>
      </w:r>
      <w:proofErr w:type="gramEnd"/>
      <w:r w:rsidR="006731D6">
        <w:rPr>
          <w:rFonts w:ascii="Times New Roman" w:hAnsi="Times New Roman"/>
        </w:rPr>
        <w:t xml:space="preserve"> </w:t>
      </w:r>
      <w:r w:rsidRPr="00B33901">
        <w:rPr>
          <w:rFonts w:ascii="Times New Roman" w:hAnsi="Times New Roman"/>
        </w:rPr>
        <w:t>Kaneohe, HI</w:t>
      </w:r>
      <w:r>
        <w:rPr>
          <w:rFonts w:ascii="Times New Roman" w:hAnsi="Times New Roman"/>
        </w:rPr>
        <w:t>.</w:t>
      </w:r>
      <w:r w:rsidRPr="00B33901">
        <w:rPr>
          <w:rFonts w:ascii="Times New Roman" w:hAnsi="Times New Roman"/>
        </w:rPr>
        <w:t xml:space="preserve"> </w:t>
      </w:r>
      <w:r>
        <w:rPr>
          <w:rFonts w:ascii="Times New Roman" w:hAnsi="Times New Roman"/>
        </w:rPr>
        <w:t>1 May 2011 &lt;</w:t>
      </w:r>
      <w:r w:rsidR="005E7563" w:rsidRPr="001D6905">
        <w:rPr>
          <w:rFonts w:ascii="Times New Roman" w:hAnsi="Times New Roman"/>
        </w:rPr>
        <w:t>http://www.llmc.com/HaitiOverview.asp</w:t>
      </w:r>
      <w:r>
        <w:rPr>
          <w:rFonts w:ascii="Times New Roman" w:hAnsi="Times New Roman"/>
        </w:rPr>
        <w:t>&gt;.</w:t>
      </w:r>
    </w:p>
    <w:p w:rsidR="007A57AF" w:rsidRDefault="007A57AF" w:rsidP="007A57AF">
      <w:pPr>
        <w:spacing w:line="480" w:lineRule="auto"/>
        <w:rPr>
          <w:rFonts w:ascii="Times New Roman" w:hAnsi="Times New Roman"/>
        </w:rPr>
      </w:pPr>
      <w:proofErr w:type="gramStart"/>
      <w:r>
        <w:rPr>
          <w:rFonts w:ascii="Times New Roman" w:hAnsi="Times New Roman"/>
        </w:rPr>
        <w:lastRenderedPageBreak/>
        <w:t>Law Library Microform Consortium (LLMC)</w:t>
      </w:r>
      <w:r>
        <w:rPr>
          <w:rFonts w:ascii="Times New Roman" w:hAnsi="Times New Roman"/>
        </w:rPr>
        <w:t>, Haiti Legal Patrimony Digital Collection</w:t>
      </w:r>
      <w:r>
        <w:rPr>
          <w:rFonts w:ascii="Times New Roman" w:hAnsi="Times New Roman"/>
        </w:rPr>
        <w:t>.</w:t>
      </w:r>
      <w:proofErr w:type="gramEnd"/>
      <w:r>
        <w:rPr>
          <w:rFonts w:ascii="Times New Roman" w:hAnsi="Times New Roman"/>
        </w:rPr>
        <w:t xml:space="preserve"> </w:t>
      </w:r>
    </w:p>
    <w:p w:rsidR="007A57AF" w:rsidRPr="007A57AF" w:rsidRDefault="007A57AF" w:rsidP="007A57AF">
      <w:pPr>
        <w:spacing w:line="480" w:lineRule="auto"/>
        <w:ind w:firstLine="720"/>
        <w:rPr>
          <w:rFonts w:ascii="Times New Roman" w:hAnsi="Times New Roman"/>
          <w:i/>
        </w:rPr>
      </w:pPr>
      <w:r w:rsidRPr="00662520">
        <w:rPr>
          <w:rFonts w:ascii="Times New Roman" w:hAnsi="Times New Roman"/>
          <w:i/>
        </w:rPr>
        <w:t>Digital Library of the Caribbean (dLOC</w:t>
      </w:r>
      <w:r>
        <w:rPr>
          <w:rFonts w:ascii="Times New Roman" w:hAnsi="Times New Roman"/>
          <w:i/>
        </w:rPr>
        <w:t>)</w:t>
      </w:r>
      <w:r>
        <w:rPr>
          <w:rFonts w:ascii="Times New Roman" w:hAnsi="Times New Roman"/>
        </w:rPr>
        <w:t xml:space="preserve"> </w:t>
      </w:r>
      <w:hyperlink r:id="rId14" w:history="1">
        <w:r w:rsidRPr="00E154A1">
          <w:rPr>
            <w:rStyle w:val="Hyperlink"/>
            <w:rFonts w:ascii="Times New Roman" w:hAnsi="Times New Roman"/>
          </w:rPr>
          <w:t>http://www.dloc.com/illmc</w:t>
        </w:r>
      </w:hyperlink>
      <w:r>
        <w:rPr>
          <w:rFonts w:ascii="Times New Roman" w:hAnsi="Times New Roman"/>
        </w:rPr>
        <w:t xml:space="preserve"> </w:t>
      </w:r>
    </w:p>
    <w:p w:rsidR="00A96E5F" w:rsidRDefault="001C7F49" w:rsidP="00A96E5F">
      <w:pPr>
        <w:spacing w:line="480" w:lineRule="auto"/>
        <w:rPr>
          <w:rFonts w:ascii="Times New Roman" w:hAnsi="Times New Roman"/>
        </w:rPr>
      </w:pPr>
      <w:proofErr w:type="gramStart"/>
      <w:r w:rsidRPr="001D6905">
        <w:rPr>
          <w:rFonts w:ascii="Times New Roman" w:hAnsi="Times New Roman"/>
        </w:rPr>
        <w:t>Owens, Evan</w:t>
      </w:r>
      <w:r w:rsidR="009D61CA">
        <w:rPr>
          <w:rFonts w:ascii="Times New Roman" w:hAnsi="Times New Roman"/>
        </w:rPr>
        <w:t xml:space="preserve">; </w:t>
      </w:r>
      <w:proofErr w:type="spellStart"/>
      <w:r w:rsidR="009D61CA" w:rsidRPr="009D61CA">
        <w:rPr>
          <w:rFonts w:ascii="Times New Roman" w:hAnsi="Times New Roman"/>
        </w:rPr>
        <w:t>Cheruku</w:t>
      </w:r>
      <w:proofErr w:type="spellEnd"/>
      <w:r w:rsidR="009D61CA">
        <w:rPr>
          <w:rFonts w:ascii="Times New Roman" w:hAnsi="Times New Roman"/>
        </w:rPr>
        <w:t xml:space="preserve">, </w:t>
      </w:r>
      <w:r w:rsidR="009D61CA" w:rsidRPr="009D61CA">
        <w:rPr>
          <w:rFonts w:ascii="Times New Roman" w:hAnsi="Times New Roman"/>
        </w:rPr>
        <w:t>Vinay</w:t>
      </w:r>
      <w:r w:rsidR="009D61CA">
        <w:rPr>
          <w:rFonts w:ascii="Times New Roman" w:hAnsi="Times New Roman"/>
        </w:rPr>
        <w:t>; Meyer, John; and Morrissey, Sheila</w:t>
      </w:r>
      <w:r w:rsidRPr="001D6905">
        <w:rPr>
          <w:rFonts w:ascii="Times New Roman" w:hAnsi="Times New Roman"/>
        </w:rPr>
        <w:t>.</w:t>
      </w:r>
      <w:proofErr w:type="gramEnd"/>
      <w:r w:rsidR="009D61CA">
        <w:rPr>
          <w:rFonts w:ascii="Times New Roman" w:hAnsi="Times New Roman"/>
        </w:rPr>
        <w:t xml:space="preserve"> “</w:t>
      </w:r>
      <w:r w:rsidR="009D61CA" w:rsidRPr="009D61CA">
        <w:rPr>
          <w:rFonts w:ascii="Times New Roman" w:hAnsi="Times New Roman"/>
        </w:rPr>
        <w:t xml:space="preserve">Digital Content </w:t>
      </w:r>
    </w:p>
    <w:p w:rsidR="009D61CA" w:rsidRDefault="009D61CA" w:rsidP="00A96E5F">
      <w:pPr>
        <w:spacing w:line="480" w:lineRule="auto"/>
        <w:ind w:left="720"/>
        <w:rPr>
          <w:rFonts w:ascii="Times New Roman" w:hAnsi="Times New Roman"/>
        </w:rPr>
      </w:pPr>
      <w:r w:rsidRPr="009D61CA">
        <w:rPr>
          <w:rFonts w:ascii="Times New Roman" w:hAnsi="Times New Roman"/>
        </w:rPr>
        <w:t>Management at Scale:</w:t>
      </w:r>
      <w:r>
        <w:rPr>
          <w:rFonts w:ascii="Times New Roman" w:hAnsi="Times New Roman"/>
        </w:rPr>
        <w:t xml:space="preserve"> </w:t>
      </w:r>
      <w:r w:rsidRPr="009D61CA">
        <w:rPr>
          <w:rFonts w:ascii="Times New Roman" w:hAnsi="Times New Roman"/>
        </w:rPr>
        <w:t>A Case Study from Portico</w:t>
      </w:r>
      <w:r>
        <w:rPr>
          <w:rFonts w:ascii="Times New Roman" w:hAnsi="Times New Roman"/>
        </w:rPr>
        <w:t>.”</w:t>
      </w:r>
      <w:r w:rsidR="001C7F49" w:rsidRPr="001D6905">
        <w:rPr>
          <w:rFonts w:ascii="Times New Roman" w:hAnsi="Times New Roman"/>
        </w:rPr>
        <w:t xml:space="preserve"> </w:t>
      </w:r>
      <w:proofErr w:type="gramStart"/>
      <w:r>
        <w:rPr>
          <w:rFonts w:ascii="Times New Roman" w:hAnsi="Times New Roman"/>
        </w:rPr>
        <w:t xml:space="preserve">Digital Library Federation </w:t>
      </w:r>
      <w:r w:rsidR="00790FE9">
        <w:rPr>
          <w:rFonts w:ascii="Times New Roman" w:hAnsi="Times New Roman"/>
        </w:rPr>
        <w:t>Spring Forum</w:t>
      </w:r>
      <w:r>
        <w:rPr>
          <w:rFonts w:ascii="Times New Roman" w:hAnsi="Times New Roman"/>
        </w:rPr>
        <w:t>.</w:t>
      </w:r>
      <w:proofErr w:type="gramEnd"/>
      <w:r>
        <w:rPr>
          <w:rFonts w:ascii="Times New Roman" w:hAnsi="Times New Roman"/>
        </w:rPr>
        <w:t xml:space="preserve"> 28-30 April 2008. </w:t>
      </w:r>
      <w:r w:rsidRPr="009D61CA">
        <w:rPr>
          <w:rFonts w:ascii="Times New Roman" w:hAnsi="Times New Roman"/>
        </w:rPr>
        <w:t xml:space="preserve"> </w:t>
      </w:r>
      <w:r>
        <w:rPr>
          <w:rFonts w:ascii="Times New Roman" w:hAnsi="Times New Roman"/>
        </w:rPr>
        <w:t>Minneapolis, MN. 1 May 2011</w:t>
      </w:r>
    </w:p>
    <w:p w:rsidR="001C7F49" w:rsidRPr="001D6905" w:rsidRDefault="009D61CA" w:rsidP="00D96F55">
      <w:pPr>
        <w:spacing w:line="480" w:lineRule="auto"/>
        <w:ind w:firstLine="720"/>
        <w:rPr>
          <w:rFonts w:ascii="Times New Roman" w:hAnsi="Times New Roman"/>
        </w:rPr>
      </w:pPr>
      <w:r>
        <w:rPr>
          <w:rFonts w:ascii="Times New Roman" w:hAnsi="Times New Roman"/>
        </w:rPr>
        <w:t>&lt;</w:t>
      </w:r>
      <w:hyperlink r:id="rId15" w:history="1">
        <w:r w:rsidRPr="009876D7">
          <w:rPr>
            <w:rStyle w:val="Hyperlink"/>
            <w:rFonts w:ascii="Times New Roman" w:hAnsi="Times New Roman"/>
          </w:rPr>
          <w:t>http://www.diglib.org/forums/spring2008/pre</w:t>
        </w:r>
        <w:r w:rsidRPr="009876D7">
          <w:rPr>
            <w:rStyle w:val="Hyperlink"/>
            <w:rFonts w:ascii="Times New Roman" w:hAnsi="Times New Roman"/>
          </w:rPr>
          <w:t>s</w:t>
        </w:r>
        <w:r w:rsidRPr="009876D7">
          <w:rPr>
            <w:rStyle w:val="Hyperlink"/>
            <w:rFonts w:ascii="Times New Roman" w:hAnsi="Times New Roman"/>
          </w:rPr>
          <w:t>entat</w:t>
        </w:r>
        <w:r w:rsidRPr="009876D7">
          <w:rPr>
            <w:rStyle w:val="Hyperlink"/>
            <w:rFonts w:ascii="Times New Roman" w:hAnsi="Times New Roman"/>
          </w:rPr>
          <w:t>i</w:t>
        </w:r>
        <w:r w:rsidRPr="009876D7">
          <w:rPr>
            <w:rStyle w:val="Hyperlink"/>
            <w:rFonts w:ascii="Times New Roman" w:hAnsi="Times New Roman"/>
          </w:rPr>
          <w:t>ons/Owens.pdf</w:t>
        </w:r>
      </w:hyperlink>
      <w:r>
        <w:rPr>
          <w:rFonts w:ascii="Times New Roman" w:hAnsi="Times New Roman"/>
        </w:rPr>
        <w:t xml:space="preserve">&gt;. </w:t>
      </w:r>
    </w:p>
    <w:p w:rsidR="00A96E5F" w:rsidRDefault="0052687C" w:rsidP="00A96E5F">
      <w:pPr>
        <w:spacing w:line="480" w:lineRule="auto"/>
        <w:rPr>
          <w:rFonts w:ascii="Times New Roman" w:hAnsi="Times New Roman"/>
          <w:i/>
        </w:rPr>
      </w:pPr>
      <w:proofErr w:type="spellStart"/>
      <w:r w:rsidRPr="001D6905">
        <w:rPr>
          <w:rFonts w:ascii="Times New Roman" w:hAnsi="Times New Roman"/>
        </w:rPr>
        <w:t>Shirkey</w:t>
      </w:r>
      <w:proofErr w:type="spellEnd"/>
      <w:r w:rsidRPr="001D6905">
        <w:rPr>
          <w:rFonts w:ascii="Times New Roman" w:hAnsi="Times New Roman"/>
        </w:rPr>
        <w:t xml:space="preserve">, Clay. </w:t>
      </w:r>
      <w:r w:rsidRPr="001D6905">
        <w:rPr>
          <w:rFonts w:ascii="Times New Roman" w:hAnsi="Times New Roman"/>
          <w:i/>
        </w:rPr>
        <w:t xml:space="preserve">Library of Congress Archive Ingest and Handling Test (AIHT) Final </w:t>
      </w:r>
    </w:p>
    <w:p w:rsidR="00E53039" w:rsidRPr="001D6905" w:rsidRDefault="0052687C" w:rsidP="00A96E5F">
      <w:pPr>
        <w:spacing w:line="480" w:lineRule="auto"/>
        <w:ind w:left="720"/>
        <w:rPr>
          <w:rFonts w:ascii="Times New Roman" w:hAnsi="Times New Roman"/>
        </w:rPr>
      </w:pPr>
      <w:proofErr w:type="gramStart"/>
      <w:r w:rsidRPr="001D6905">
        <w:rPr>
          <w:rFonts w:ascii="Times New Roman" w:hAnsi="Times New Roman"/>
          <w:i/>
        </w:rPr>
        <w:t>Report</w:t>
      </w:r>
      <w:r w:rsidR="001D6905">
        <w:rPr>
          <w:rFonts w:ascii="Times New Roman" w:hAnsi="Times New Roman"/>
          <w:i/>
        </w:rPr>
        <w:t>.</w:t>
      </w:r>
      <w:proofErr w:type="gramEnd"/>
      <w:r w:rsidRPr="001D6905">
        <w:rPr>
          <w:rFonts w:ascii="Times New Roman" w:hAnsi="Times New Roman"/>
        </w:rPr>
        <w:t xml:space="preserve"> </w:t>
      </w:r>
      <w:proofErr w:type="gramStart"/>
      <w:r w:rsidR="001D6905">
        <w:rPr>
          <w:rFonts w:ascii="Times New Roman" w:hAnsi="Times New Roman"/>
        </w:rPr>
        <w:t>Library of Congress.</w:t>
      </w:r>
      <w:proofErr w:type="gramEnd"/>
      <w:r w:rsidR="001D6905">
        <w:rPr>
          <w:rFonts w:ascii="Times New Roman" w:hAnsi="Times New Roman"/>
        </w:rPr>
        <w:t xml:space="preserve"> </w:t>
      </w:r>
      <w:r w:rsidR="00790FE9" w:rsidRPr="001D6905">
        <w:rPr>
          <w:rFonts w:ascii="Times New Roman" w:hAnsi="Times New Roman"/>
        </w:rPr>
        <w:t xml:space="preserve">June 2005. </w:t>
      </w:r>
      <w:r w:rsidR="001D6905">
        <w:rPr>
          <w:rFonts w:ascii="Times New Roman" w:hAnsi="Times New Roman"/>
        </w:rPr>
        <w:t xml:space="preserve">Washington, DC. 1 May 2011 </w:t>
      </w:r>
      <w:r w:rsidR="00E53039" w:rsidRPr="001D6905">
        <w:rPr>
          <w:rFonts w:ascii="Times New Roman" w:hAnsi="Times New Roman"/>
        </w:rPr>
        <w:t>&lt;</w:t>
      </w:r>
      <w:r w:rsidRPr="001D6905">
        <w:rPr>
          <w:rFonts w:ascii="Times New Roman" w:hAnsi="Times New Roman"/>
        </w:rPr>
        <w:t>http://www.digitalpreservation.gov/library/pdf/ndiipp_aiht_final_report.p</w:t>
      </w:r>
      <w:r w:rsidR="00E53039" w:rsidRPr="001D6905">
        <w:rPr>
          <w:rFonts w:ascii="Times New Roman" w:hAnsi="Times New Roman"/>
        </w:rPr>
        <w:t>df&gt;</w:t>
      </w:r>
      <w:r w:rsidR="001D6905">
        <w:rPr>
          <w:rFonts w:ascii="Times New Roman" w:hAnsi="Times New Roman"/>
        </w:rPr>
        <w:t>.</w:t>
      </w:r>
    </w:p>
    <w:p w:rsidR="00A96E5F" w:rsidRDefault="001C3A74" w:rsidP="00A96E5F">
      <w:pPr>
        <w:spacing w:line="480" w:lineRule="auto"/>
        <w:rPr>
          <w:rFonts w:ascii="Times New Roman" w:hAnsi="Times New Roman"/>
          <w:i/>
        </w:rPr>
      </w:pPr>
      <w:r w:rsidRPr="001D6905">
        <w:rPr>
          <w:rFonts w:ascii="Times New Roman" w:hAnsi="Times New Roman"/>
        </w:rPr>
        <w:t xml:space="preserve">Sullivan, Mark V. “Digitization is </w:t>
      </w:r>
      <w:proofErr w:type="gramStart"/>
      <w:r w:rsidRPr="001D6905">
        <w:rPr>
          <w:rFonts w:ascii="Times New Roman" w:hAnsi="Times New Roman"/>
        </w:rPr>
        <w:t>Not</w:t>
      </w:r>
      <w:proofErr w:type="gramEnd"/>
      <w:r w:rsidRPr="001D6905">
        <w:rPr>
          <w:rFonts w:ascii="Times New Roman" w:hAnsi="Times New Roman"/>
        </w:rPr>
        <w:t xml:space="preserve"> Enough.”</w:t>
      </w:r>
      <w:r w:rsidR="00790FE9">
        <w:rPr>
          <w:rFonts w:ascii="Times New Roman" w:hAnsi="Times New Roman"/>
        </w:rPr>
        <w:t xml:space="preserve"> </w:t>
      </w:r>
      <w:r w:rsidR="00790FE9" w:rsidRPr="00790FE9">
        <w:rPr>
          <w:rFonts w:ascii="Times New Roman" w:hAnsi="Times New Roman"/>
          <w:i/>
        </w:rPr>
        <w:t xml:space="preserve">Association of Caribbean University, </w:t>
      </w:r>
    </w:p>
    <w:p w:rsidR="00790FE9" w:rsidRPr="001D6905" w:rsidRDefault="00790FE9" w:rsidP="00A96E5F">
      <w:pPr>
        <w:spacing w:line="480" w:lineRule="auto"/>
        <w:ind w:left="720"/>
        <w:rPr>
          <w:rFonts w:ascii="Times New Roman" w:hAnsi="Times New Roman"/>
        </w:rPr>
      </w:pPr>
      <w:proofErr w:type="gramStart"/>
      <w:r w:rsidRPr="00790FE9">
        <w:rPr>
          <w:rFonts w:ascii="Times New Roman" w:hAnsi="Times New Roman"/>
          <w:i/>
        </w:rPr>
        <w:t>Research and Institutional Libraries (ACURIL) 2011 Conference: The Role of Libraries and Archives in Disaster Preparedness, Response, and Research.</w:t>
      </w:r>
      <w:proofErr w:type="gramEnd"/>
      <w:r w:rsidR="001C3A74" w:rsidRPr="001D6905">
        <w:rPr>
          <w:rFonts w:ascii="Times New Roman" w:hAnsi="Times New Roman"/>
        </w:rPr>
        <w:t xml:space="preserve"> </w:t>
      </w:r>
      <w:proofErr w:type="gramStart"/>
      <w:r w:rsidR="000D122C" w:rsidRPr="000D122C">
        <w:rPr>
          <w:rFonts w:ascii="Times New Roman" w:hAnsi="Times New Roman"/>
        </w:rPr>
        <w:t>Association of Caribbean University, Research and Institutional Libraries (ACURIL</w:t>
      </w:r>
      <w:r w:rsidR="000D122C">
        <w:rPr>
          <w:rFonts w:ascii="Times New Roman" w:hAnsi="Times New Roman"/>
        </w:rPr>
        <w:t>)</w:t>
      </w:r>
      <w:r w:rsidR="00B35A22">
        <w:rPr>
          <w:rFonts w:ascii="Times New Roman" w:hAnsi="Times New Roman"/>
        </w:rPr>
        <w:t>.</w:t>
      </w:r>
      <w:proofErr w:type="gramEnd"/>
      <w:r w:rsidR="00B35A22">
        <w:rPr>
          <w:rFonts w:ascii="Times New Roman" w:hAnsi="Times New Roman"/>
        </w:rPr>
        <w:t xml:space="preserve"> </w:t>
      </w:r>
      <w:r>
        <w:rPr>
          <w:rFonts w:ascii="Times New Roman" w:hAnsi="Times New Roman"/>
        </w:rPr>
        <w:t xml:space="preserve">1-3 June 2011. </w:t>
      </w:r>
      <w:proofErr w:type="gramStart"/>
      <w:r>
        <w:rPr>
          <w:rFonts w:ascii="Times New Roman" w:hAnsi="Times New Roman"/>
        </w:rPr>
        <w:t>Tampa, FL. 3 June 2011 &lt;</w:t>
      </w:r>
      <w:hyperlink r:id="rId16" w:history="1">
        <w:r w:rsidR="0030536B" w:rsidRPr="00E154A1">
          <w:rPr>
            <w:rStyle w:val="Hyperlink"/>
            <w:rFonts w:ascii="Times New Roman" w:hAnsi="Times New Roman"/>
          </w:rPr>
          <w:t>http://dloc.com/IR00000449/</w:t>
        </w:r>
      </w:hyperlink>
      <w:r w:rsidRPr="001D6905">
        <w:rPr>
          <w:rFonts w:ascii="Times New Roman" w:hAnsi="Times New Roman"/>
        </w:rPr>
        <w:t>&gt;.</w:t>
      </w:r>
      <w:proofErr w:type="gramEnd"/>
    </w:p>
    <w:p w:rsidR="00662520" w:rsidRDefault="00F54137" w:rsidP="00662520">
      <w:pPr>
        <w:spacing w:line="480" w:lineRule="auto"/>
        <w:rPr>
          <w:rFonts w:ascii="Times New Roman" w:hAnsi="Times New Roman"/>
          <w:i/>
        </w:rPr>
      </w:pPr>
      <w:proofErr w:type="gramStart"/>
      <w:r>
        <w:rPr>
          <w:rFonts w:ascii="Times New Roman" w:hAnsi="Times New Roman"/>
          <w:i/>
        </w:rPr>
        <w:t>“</w:t>
      </w:r>
      <w:r w:rsidR="00790FE9" w:rsidRPr="001D6905">
        <w:rPr>
          <w:rFonts w:ascii="Times New Roman" w:hAnsi="Times New Roman"/>
          <w:i/>
        </w:rPr>
        <w:t xml:space="preserve">Windward Islands’ </w:t>
      </w:r>
      <w:proofErr w:type="spellStart"/>
      <w:r w:rsidR="00790FE9" w:rsidRPr="001D6905">
        <w:rPr>
          <w:rFonts w:ascii="Times New Roman" w:hAnsi="Times New Roman"/>
          <w:i/>
        </w:rPr>
        <w:t>Opinion</w:t>
      </w:r>
      <w:r>
        <w:rPr>
          <w:rFonts w:ascii="Times New Roman" w:hAnsi="Times New Roman"/>
          <w:i/>
        </w:rPr>
        <w:t>.”</w:t>
      </w:r>
      <w:r w:rsidR="00662520">
        <w:rPr>
          <w:rFonts w:ascii="Times New Roman" w:hAnsi="Times New Roman"/>
          <w:i/>
        </w:rPr>
        <w:t>Digital</w:t>
      </w:r>
      <w:proofErr w:type="spellEnd"/>
      <w:r w:rsidR="00662520">
        <w:rPr>
          <w:rFonts w:ascii="Times New Roman" w:hAnsi="Times New Roman"/>
          <w:i/>
        </w:rPr>
        <w:t xml:space="preserve"> Library of the Caribbean (dLOC).</w:t>
      </w:r>
      <w:proofErr w:type="gramEnd"/>
      <w:r w:rsidR="00662520">
        <w:rPr>
          <w:rFonts w:ascii="Times New Roman" w:hAnsi="Times New Roman"/>
          <w:i/>
        </w:rPr>
        <w:t xml:space="preserve"> </w:t>
      </w:r>
    </w:p>
    <w:p w:rsidR="00662520" w:rsidRDefault="00662520" w:rsidP="00662520">
      <w:pPr>
        <w:spacing w:line="480" w:lineRule="auto"/>
        <w:ind w:firstLine="720"/>
        <w:rPr>
          <w:rFonts w:ascii="Times New Roman" w:hAnsi="Times New Roman"/>
          <w:i/>
        </w:rPr>
      </w:pPr>
      <w:r>
        <w:rPr>
          <w:rFonts w:ascii="Times New Roman" w:hAnsi="Times New Roman"/>
        </w:rPr>
        <w:t>&lt;</w:t>
      </w:r>
      <w:hyperlink r:id="rId17" w:history="1">
        <w:r w:rsidRPr="00E154A1">
          <w:rPr>
            <w:rStyle w:val="Hyperlink"/>
            <w:rFonts w:ascii="Times New Roman" w:hAnsi="Times New Roman"/>
          </w:rPr>
          <w:t>http://www.dloc.com/AA00000504/00002/allvolumes2</w:t>
        </w:r>
      </w:hyperlink>
      <w:r>
        <w:rPr>
          <w:rFonts w:ascii="Times New Roman" w:hAnsi="Times New Roman"/>
        </w:rPr>
        <w:t xml:space="preserve">&gt;. </w:t>
      </w:r>
    </w:p>
    <w:p w:rsidR="00A96E5F" w:rsidRDefault="00662520" w:rsidP="00A96E5F">
      <w:pPr>
        <w:spacing w:line="480" w:lineRule="auto"/>
        <w:rPr>
          <w:rFonts w:ascii="Times New Roman" w:hAnsi="Times New Roman"/>
        </w:rPr>
      </w:pPr>
      <w:proofErr w:type="gramStart"/>
      <w:r>
        <w:rPr>
          <w:rFonts w:ascii="Times New Roman" w:hAnsi="Times New Roman"/>
          <w:i/>
        </w:rPr>
        <w:t>“</w:t>
      </w:r>
      <w:r w:rsidRPr="001D6905">
        <w:rPr>
          <w:rFonts w:ascii="Times New Roman" w:hAnsi="Times New Roman"/>
          <w:i/>
        </w:rPr>
        <w:t>Windward Islands’ Opinion</w:t>
      </w:r>
      <w:r>
        <w:rPr>
          <w:rFonts w:ascii="Times New Roman" w:hAnsi="Times New Roman"/>
          <w:i/>
        </w:rPr>
        <w:t>.”</w:t>
      </w:r>
      <w:proofErr w:type="gramEnd"/>
      <w:r>
        <w:rPr>
          <w:rFonts w:ascii="Times New Roman" w:hAnsi="Times New Roman"/>
          <w:i/>
        </w:rPr>
        <w:t xml:space="preserve"> </w:t>
      </w:r>
      <w:proofErr w:type="spellStart"/>
      <w:proofErr w:type="gramStart"/>
      <w:r w:rsidR="00790FE9" w:rsidRPr="001D6905">
        <w:rPr>
          <w:rFonts w:ascii="Times New Roman" w:hAnsi="Times New Roman"/>
        </w:rPr>
        <w:t>WorldCat</w:t>
      </w:r>
      <w:proofErr w:type="spellEnd"/>
      <w:r w:rsidR="00F54137">
        <w:rPr>
          <w:rFonts w:ascii="Times New Roman" w:hAnsi="Times New Roman"/>
        </w:rPr>
        <w:t>.</w:t>
      </w:r>
      <w:proofErr w:type="gramEnd"/>
      <w:r w:rsidR="00F54137">
        <w:rPr>
          <w:rFonts w:ascii="Times New Roman" w:hAnsi="Times New Roman"/>
        </w:rPr>
        <w:t xml:space="preserve"> </w:t>
      </w:r>
      <w:proofErr w:type="gramStart"/>
      <w:r w:rsidR="00F54137">
        <w:rPr>
          <w:rFonts w:ascii="Times New Roman" w:hAnsi="Times New Roman"/>
        </w:rPr>
        <w:t>OCLC Online Computer Library Center.</w:t>
      </w:r>
      <w:proofErr w:type="gramEnd"/>
      <w:r w:rsidR="00F54137">
        <w:rPr>
          <w:rFonts w:ascii="Times New Roman" w:hAnsi="Times New Roman"/>
        </w:rPr>
        <w:t xml:space="preserve"> </w:t>
      </w:r>
    </w:p>
    <w:p w:rsidR="00662520" w:rsidRDefault="00F54137" w:rsidP="00A96E5F">
      <w:pPr>
        <w:spacing w:line="480" w:lineRule="auto"/>
        <w:ind w:left="720"/>
        <w:rPr>
          <w:rFonts w:ascii="Times New Roman" w:hAnsi="Times New Roman"/>
        </w:rPr>
      </w:pPr>
      <w:r>
        <w:rPr>
          <w:rFonts w:ascii="Times New Roman" w:hAnsi="Times New Roman"/>
        </w:rPr>
        <w:t xml:space="preserve">Dublin, Ohio. 1 May 2011 </w:t>
      </w:r>
    </w:p>
    <w:p w:rsidR="00AE3CDB" w:rsidRPr="001D6905" w:rsidRDefault="00F54137" w:rsidP="00A96E5F">
      <w:pPr>
        <w:spacing w:line="480" w:lineRule="auto"/>
        <w:ind w:left="720"/>
        <w:rPr>
          <w:rFonts w:ascii="Times New Roman" w:hAnsi="Times New Roman"/>
        </w:rPr>
      </w:pPr>
      <w:r>
        <w:rPr>
          <w:rFonts w:ascii="Times New Roman" w:hAnsi="Times New Roman"/>
        </w:rPr>
        <w:t>&lt;</w:t>
      </w:r>
      <w:hyperlink r:id="rId18" w:history="1">
        <w:r w:rsidR="00662520" w:rsidRPr="00E154A1">
          <w:rPr>
            <w:rStyle w:val="Hyperlink"/>
            <w:rFonts w:ascii="Times New Roman" w:hAnsi="Times New Roman"/>
          </w:rPr>
          <w:t>http://www.worldcat.org/title/windward-islands-opinion/oclc/1746332</w:t>
        </w:r>
      </w:hyperlink>
      <w:r>
        <w:rPr>
          <w:rFonts w:ascii="Times New Roman" w:hAnsi="Times New Roman"/>
        </w:rPr>
        <w:t>&gt;.</w:t>
      </w:r>
      <w:bookmarkStart w:id="0" w:name="_GoBack"/>
      <w:bookmarkEnd w:id="0"/>
    </w:p>
    <w:sectPr w:rsidR="00AE3CDB" w:rsidRPr="001D6905" w:rsidSect="005412DE">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A1" w:rsidRDefault="005A40A1" w:rsidP="00E713B0">
      <w:r>
        <w:separator/>
      </w:r>
    </w:p>
  </w:endnote>
  <w:endnote w:type="continuationSeparator" w:id="0">
    <w:p w:rsidR="005A40A1" w:rsidRDefault="005A40A1" w:rsidP="00E7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A1" w:rsidRDefault="005A40A1" w:rsidP="00E713B0">
      <w:r>
        <w:separator/>
      </w:r>
    </w:p>
  </w:footnote>
  <w:footnote w:type="continuationSeparator" w:id="0">
    <w:p w:rsidR="005A40A1" w:rsidRDefault="005A40A1" w:rsidP="00E7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70" w:rsidRPr="00B53270" w:rsidRDefault="00B53270">
    <w:pPr>
      <w:pStyle w:val="Header"/>
      <w:jc w:val="right"/>
      <w:rPr>
        <w:rFonts w:ascii="Times New Roman" w:hAnsi="Times New Roman"/>
      </w:rPr>
    </w:pPr>
    <w:r w:rsidRPr="00B53270">
      <w:rPr>
        <w:rFonts w:ascii="Times New Roman" w:hAnsi="Times New Roman"/>
      </w:rPr>
      <w:fldChar w:fldCharType="begin"/>
    </w:r>
    <w:r w:rsidRPr="00B53270">
      <w:rPr>
        <w:rFonts w:ascii="Times New Roman" w:hAnsi="Times New Roman"/>
      </w:rPr>
      <w:instrText xml:space="preserve"> PAGE   \* MERGEFORMAT </w:instrText>
    </w:r>
    <w:r w:rsidRPr="00B53270">
      <w:rPr>
        <w:rFonts w:ascii="Times New Roman" w:hAnsi="Times New Roman"/>
      </w:rPr>
      <w:fldChar w:fldCharType="separate"/>
    </w:r>
    <w:r w:rsidR="00592780">
      <w:rPr>
        <w:rFonts w:ascii="Times New Roman" w:hAnsi="Times New Roman"/>
        <w:noProof/>
      </w:rPr>
      <w:t>15</w:t>
    </w:r>
    <w:r w:rsidRPr="00B53270">
      <w:rPr>
        <w:rFonts w:ascii="Times New Roman" w:hAnsi="Times New Roman"/>
        <w:noProof/>
      </w:rPr>
      <w:fldChar w:fldCharType="end"/>
    </w:r>
  </w:p>
  <w:p w:rsidR="00B53270" w:rsidRPr="00B53270" w:rsidRDefault="00B5327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6CBD"/>
    <w:multiLevelType w:val="hybridMultilevel"/>
    <w:tmpl w:val="CD3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278C1"/>
    <w:multiLevelType w:val="hybridMultilevel"/>
    <w:tmpl w:val="902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F6"/>
    <w:rsid w:val="0001788D"/>
    <w:rsid w:val="00033C79"/>
    <w:rsid w:val="000408CB"/>
    <w:rsid w:val="000412BC"/>
    <w:rsid w:val="000570A2"/>
    <w:rsid w:val="000608DC"/>
    <w:rsid w:val="0006669D"/>
    <w:rsid w:val="000873AD"/>
    <w:rsid w:val="000A316B"/>
    <w:rsid w:val="000D122C"/>
    <w:rsid w:val="000D62BC"/>
    <w:rsid w:val="00105FF9"/>
    <w:rsid w:val="00113168"/>
    <w:rsid w:val="001361FB"/>
    <w:rsid w:val="00136DEB"/>
    <w:rsid w:val="001646D3"/>
    <w:rsid w:val="00174D36"/>
    <w:rsid w:val="00180C50"/>
    <w:rsid w:val="001832DB"/>
    <w:rsid w:val="001A0F54"/>
    <w:rsid w:val="001A31C2"/>
    <w:rsid w:val="001B4446"/>
    <w:rsid w:val="001C3A74"/>
    <w:rsid w:val="001C7F49"/>
    <w:rsid w:val="001D0A99"/>
    <w:rsid w:val="001D6905"/>
    <w:rsid w:val="00216638"/>
    <w:rsid w:val="00257D7F"/>
    <w:rsid w:val="002660D0"/>
    <w:rsid w:val="0027105D"/>
    <w:rsid w:val="00277864"/>
    <w:rsid w:val="00296DD9"/>
    <w:rsid w:val="00297028"/>
    <w:rsid w:val="002C686E"/>
    <w:rsid w:val="002D54C8"/>
    <w:rsid w:val="002E01CD"/>
    <w:rsid w:val="0030536B"/>
    <w:rsid w:val="00317510"/>
    <w:rsid w:val="00376CDD"/>
    <w:rsid w:val="003F14E9"/>
    <w:rsid w:val="004060E8"/>
    <w:rsid w:val="00417C88"/>
    <w:rsid w:val="00456F5E"/>
    <w:rsid w:val="00461C08"/>
    <w:rsid w:val="004647D9"/>
    <w:rsid w:val="004726CE"/>
    <w:rsid w:val="00487B34"/>
    <w:rsid w:val="00490895"/>
    <w:rsid w:val="004C589F"/>
    <w:rsid w:val="004E4622"/>
    <w:rsid w:val="005179C7"/>
    <w:rsid w:val="00517E06"/>
    <w:rsid w:val="0052687C"/>
    <w:rsid w:val="005367B4"/>
    <w:rsid w:val="005412DE"/>
    <w:rsid w:val="00554262"/>
    <w:rsid w:val="005709D5"/>
    <w:rsid w:val="00592780"/>
    <w:rsid w:val="0059593D"/>
    <w:rsid w:val="005A40A1"/>
    <w:rsid w:val="005C24D5"/>
    <w:rsid w:val="005C6C82"/>
    <w:rsid w:val="005D5B50"/>
    <w:rsid w:val="005E1E79"/>
    <w:rsid w:val="005E7563"/>
    <w:rsid w:val="005E7699"/>
    <w:rsid w:val="005F3D30"/>
    <w:rsid w:val="005F6399"/>
    <w:rsid w:val="00610ADF"/>
    <w:rsid w:val="00617311"/>
    <w:rsid w:val="0062295B"/>
    <w:rsid w:val="00657BAD"/>
    <w:rsid w:val="00661BF2"/>
    <w:rsid w:val="00662520"/>
    <w:rsid w:val="006731D6"/>
    <w:rsid w:val="006B15D6"/>
    <w:rsid w:val="006D1F0B"/>
    <w:rsid w:val="006E20C2"/>
    <w:rsid w:val="006F3A80"/>
    <w:rsid w:val="00725159"/>
    <w:rsid w:val="00747477"/>
    <w:rsid w:val="00780706"/>
    <w:rsid w:val="00785C7A"/>
    <w:rsid w:val="00790FE9"/>
    <w:rsid w:val="007A57AF"/>
    <w:rsid w:val="007B3303"/>
    <w:rsid w:val="007C3B66"/>
    <w:rsid w:val="007D7BF4"/>
    <w:rsid w:val="007F2C75"/>
    <w:rsid w:val="007F7EC3"/>
    <w:rsid w:val="00803119"/>
    <w:rsid w:val="008175B1"/>
    <w:rsid w:val="00844484"/>
    <w:rsid w:val="008602EC"/>
    <w:rsid w:val="00884980"/>
    <w:rsid w:val="008B692B"/>
    <w:rsid w:val="00902E31"/>
    <w:rsid w:val="009161AF"/>
    <w:rsid w:val="00921425"/>
    <w:rsid w:val="00931C6C"/>
    <w:rsid w:val="0093526D"/>
    <w:rsid w:val="0095128A"/>
    <w:rsid w:val="009536F8"/>
    <w:rsid w:val="00953AA4"/>
    <w:rsid w:val="00966962"/>
    <w:rsid w:val="009841E0"/>
    <w:rsid w:val="00995A43"/>
    <w:rsid w:val="009A3BD4"/>
    <w:rsid w:val="009B342A"/>
    <w:rsid w:val="009B699E"/>
    <w:rsid w:val="009D61CA"/>
    <w:rsid w:val="009E4C4A"/>
    <w:rsid w:val="009F610E"/>
    <w:rsid w:val="00A27224"/>
    <w:rsid w:val="00A51E6B"/>
    <w:rsid w:val="00A521DE"/>
    <w:rsid w:val="00A73B60"/>
    <w:rsid w:val="00A96E5F"/>
    <w:rsid w:val="00AA3624"/>
    <w:rsid w:val="00AB3873"/>
    <w:rsid w:val="00AE3CDB"/>
    <w:rsid w:val="00AF6A8F"/>
    <w:rsid w:val="00B072F4"/>
    <w:rsid w:val="00B33306"/>
    <w:rsid w:val="00B33901"/>
    <w:rsid w:val="00B35A22"/>
    <w:rsid w:val="00B53270"/>
    <w:rsid w:val="00B60170"/>
    <w:rsid w:val="00B76B6F"/>
    <w:rsid w:val="00B83510"/>
    <w:rsid w:val="00B83AD3"/>
    <w:rsid w:val="00BD5E68"/>
    <w:rsid w:val="00BE3F54"/>
    <w:rsid w:val="00BF3895"/>
    <w:rsid w:val="00C31602"/>
    <w:rsid w:val="00C406C1"/>
    <w:rsid w:val="00C44D38"/>
    <w:rsid w:val="00C57841"/>
    <w:rsid w:val="00C57959"/>
    <w:rsid w:val="00C60EF8"/>
    <w:rsid w:val="00C71CB1"/>
    <w:rsid w:val="00C91402"/>
    <w:rsid w:val="00CA32C2"/>
    <w:rsid w:val="00CA77BF"/>
    <w:rsid w:val="00CD23F0"/>
    <w:rsid w:val="00D0109B"/>
    <w:rsid w:val="00D50BEA"/>
    <w:rsid w:val="00D93ECD"/>
    <w:rsid w:val="00D96F55"/>
    <w:rsid w:val="00E152FB"/>
    <w:rsid w:val="00E32EB7"/>
    <w:rsid w:val="00E35200"/>
    <w:rsid w:val="00E43FCD"/>
    <w:rsid w:val="00E468BA"/>
    <w:rsid w:val="00E46A97"/>
    <w:rsid w:val="00E53039"/>
    <w:rsid w:val="00E568ED"/>
    <w:rsid w:val="00E60120"/>
    <w:rsid w:val="00E713B0"/>
    <w:rsid w:val="00E95F02"/>
    <w:rsid w:val="00EA75F8"/>
    <w:rsid w:val="00ED6397"/>
    <w:rsid w:val="00ED7617"/>
    <w:rsid w:val="00F34CB4"/>
    <w:rsid w:val="00F54137"/>
    <w:rsid w:val="00F6690F"/>
    <w:rsid w:val="00FB7E78"/>
    <w:rsid w:val="00FC00FA"/>
    <w:rsid w:val="00FF0BF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87"/>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501F6"/>
    <w:pPr>
      <w:ind w:left="720"/>
      <w:contextualSpacing/>
    </w:pPr>
  </w:style>
  <w:style w:type="character" w:styleId="Hyperlink">
    <w:name w:val="Hyperlink"/>
    <w:uiPriority w:val="99"/>
    <w:unhideWhenUsed/>
    <w:rsid w:val="00407F5B"/>
    <w:rPr>
      <w:color w:val="0000FF"/>
      <w:u w:val="single"/>
    </w:rPr>
  </w:style>
  <w:style w:type="paragraph" w:styleId="FootnoteText">
    <w:name w:val="footnote text"/>
    <w:basedOn w:val="Normal"/>
    <w:link w:val="FootnoteTextChar"/>
    <w:uiPriority w:val="99"/>
    <w:semiHidden/>
    <w:unhideWhenUsed/>
    <w:rsid w:val="00E713B0"/>
    <w:rPr>
      <w:sz w:val="20"/>
      <w:szCs w:val="20"/>
    </w:rPr>
  </w:style>
  <w:style w:type="character" w:customStyle="1" w:styleId="FootnoteTextChar">
    <w:name w:val="Footnote Text Char"/>
    <w:basedOn w:val="DefaultParagraphFont"/>
    <w:link w:val="FootnoteText"/>
    <w:uiPriority w:val="99"/>
    <w:semiHidden/>
    <w:rsid w:val="00E713B0"/>
  </w:style>
  <w:style w:type="character" w:styleId="FootnoteReference">
    <w:name w:val="footnote reference"/>
    <w:uiPriority w:val="99"/>
    <w:semiHidden/>
    <w:unhideWhenUsed/>
    <w:rsid w:val="00E713B0"/>
    <w:rPr>
      <w:vertAlign w:val="superscript"/>
    </w:rPr>
  </w:style>
  <w:style w:type="character" w:styleId="FollowedHyperlink">
    <w:name w:val="FollowedHyperlink"/>
    <w:uiPriority w:val="99"/>
    <w:semiHidden/>
    <w:unhideWhenUsed/>
    <w:rsid w:val="0006669D"/>
    <w:rPr>
      <w:color w:val="800080"/>
      <w:u w:val="single"/>
    </w:rPr>
  </w:style>
  <w:style w:type="character" w:styleId="CommentReference">
    <w:name w:val="annotation reference"/>
    <w:uiPriority w:val="99"/>
    <w:semiHidden/>
    <w:unhideWhenUsed/>
    <w:rsid w:val="00785C7A"/>
    <w:rPr>
      <w:sz w:val="16"/>
      <w:szCs w:val="16"/>
    </w:rPr>
  </w:style>
  <w:style w:type="paragraph" w:styleId="CommentText">
    <w:name w:val="annotation text"/>
    <w:basedOn w:val="Normal"/>
    <w:link w:val="CommentTextChar"/>
    <w:uiPriority w:val="99"/>
    <w:semiHidden/>
    <w:unhideWhenUsed/>
    <w:rsid w:val="00785C7A"/>
    <w:rPr>
      <w:sz w:val="20"/>
      <w:szCs w:val="20"/>
    </w:rPr>
  </w:style>
  <w:style w:type="character" w:customStyle="1" w:styleId="CommentTextChar">
    <w:name w:val="Comment Text Char"/>
    <w:basedOn w:val="DefaultParagraphFont"/>
    <w:link w:val="CommentText"/>
    <w:uiPriority w:val="99"/>
    <w:semiHidden/>
    <w:rsid w:val="00785C7A"/>
  </w:style>
  <w:style w:type="paragraph" w:styleId="CommentSubject">
    <w:name w:val="annotation subject"/>
    <w:basedOn w:val="CommentText"/>
    <w:next w:val="CommentText"/>
    <w:link w:val="CommentSubjectChar"/>
    <w:uiPriority w:val="99"/>
    <w:semiHidden/>
    <w:unhideWhenUsed/>
    <w:rsid w:val="00785C7A"/>
    <w:rPr>
      <w:b/>
      <w:bCs/>
    </w:rPr>
  </w:style>
  <w:style w:type="character" w:customStyle="1" w:styleId="CommentSubjectChar">
    <w:name w:val="Comment Subject Char"/>
    <w:link w:val="CommentSubject"/>
    <w:uiPriority w:val="99"/>
    <w:semiHidden/>
    <w:rsid w:val="00785C7A"/>
    <w:rPr>
      <w:b/>
      <w:bCs/>
    </w:rPr>
  </w:style>
  <w:style w:type="paragraph" w:styleId="BalloonText">
    <w:name w:val="Balloon Text"/>
    <w:basedOn w:val="Normal"/>
    <w:link w:val="BalloonTextChar"/>
    <w:uiPriority w:val="99"/>
    <w:semiHidden/>
    <w:unhideWhenUsed/>
    <w:rsid w:val="00785C7A"/>
    <w:rPr>
      <w:rFonts w:ascii="Tahoma" w:hAnsi="Tahoma" w:cs="Tahoma"/>
      <w:sz w:val="16"/>
      <w:szCs w:val="16"/>
    </w:rPr>
  </w:style>
  <w:style w:type="character" w:customStyle="1" w:styleId="BalloonTextChar">
    <w:name w:val="Balloon Text Char"/>
    <w:link w:val="BalloonText"/>
    <w:uiPriority w:val="99"/>
    <w:semiHidden/>
    <w:rsid w:val="00785C7A"/>
    <w:rPr>
      <w:rFonts w:ascii="Tahoma" w:hAnsi="Tahoma" w:cs="Tahoma"/>
      <w:sz w:val="16"/>
      <w:szCs w:val="16"/>
    </w:rPr>
  </w:style>
  <w:style w:type="paragraph" w:styleId="Header">
    <w:name w:val="header"/>
    <w:basedOn w:val="Normal"/>
    <w:link w:val="HeaderChar"/>
    <w:uiPriority w:val="99"/>
    <w:unhideWhenUsed/>
    <w:rsid w:val="00B53270"/>
    <w:pPr>
      <w:tabs>
        <w:tab w:val="center" w:pos="4680"/>
        <w:tab w:val="right" w:pos="9360"/>
      </w:tabs>
    </w:pPr>
  </w:style>
  <w:style w:type="character" w:customStyle="1" w:styleId="HeaderChar">
    <w:name w:val="Header Char"/>
    <w:link w:val="Header"/>
    <w:uiPriority w:val="99"/>
    <w:rsid w:val="00B53270"/>
    <w:rPr>
      <w:sz w:val="24"/>
      <w:szCs w:val="24"/>
    </w:rPr>
  </w:style>
  <w:style w:type="paragraph" w:styleId="Footer">
    <w:name w:val="footer"/>
    <w:basedOn w:val="Normal"/>
    <w:link w:val="FooterChar"/>
    <w:uiPriority w:val="99"/>
    <w:unhideWhenUsed/>
    <w:rsid w:val="00B53270"/>
    <w:pPr>
      <w:tabs>
        <w:tab w:val="center" w:pos="4680"/>
        <w:tab w:val="right" w:pos="9360"/>
      </w:tabs>
    </w:pPr>
  </w:style>
  <w:style w:type="character" w:customStyle="1" w:styleId="FooterChar">
    <w:name w:val="Footer Char"/>
    <w:link w:val="Footer"/>
    <w:uiPriority w:val="99"/>
    <w:rsid w:val="00B532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87"/>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501F6"/>
    <w:pPr>
      <w:ind w:left="720"/>
      <w:contextualSpacing/>
    </w:pPr>
  </w:style>
  <w:style w:type="character" w:styleId="Hyperlink">
    <w:name w:val="Hyperlink"/>
    <w:uiPriority w:val="99"/>
    <w:unhideWhenUsed/>
    <w:rsid w:val="00407F5B"/>
    <w:rPr>
      <w:color w:val="0000FF"/>
      <w:u w:val="single"/>
    </w:rPr>
  </w:style>
  <w:style w:type="paragraph" w:styleId="FootnoteText">
    <w:name w:val="footnote text"/>
    <w:basedOn w:val="Normal"/>
    <w:link w:val="FootnoteTextChar"/>
    <w:uiPriority w:val="99"/>
    <w:semiHidden/>
    <w:unhideWhenUsed/>
    <w:rsid w:val="00E713B0"/>
    <w:rPr>
      <w:sz w:val="20"/>
      <w:szCs w:val="20"/>
    </w:rPr>
  </w:style>
  <w:style w:type="character" w:customStyle="1" w:styleId="FootnoteTextChar">
    <w:name w:val="Footnote Text Char"/>
    <w:basedOn w:val="DefaultParagraphFont"/>
    <w:link w:val="FootnoteText"/>
    <w:uiPriority w:val="99"/>
    <w:semiHidden/>
    <w:rsid w:val="00E713B0"/>
  </w:style>
  <w:style w:type="character" w:styleId="FootnoteReference">
    <w:name w:val="footnote reference"/>
    <w:uiPriority w:val="99"/>
    <w:semiHidden/>
    <w:unhideWhenUsed/>
    <w:rsid w:val="00E713B0"/>
    <w:rPr>
      <w:vertAlign w:val="superscript"/>
    </w:rPr>
  </w:style>
  <w:style w:type="character" w:styleId="FollowedHyperlink">
    <w:name w:val="FollowedHyperlink"/>
    <w:uiPriority w:val="99"/>
    <w:semiHidden/>
    <w:unhideWhenUsed/>
    <w:rsid w:val="0006669D"/>
    <w:rPr>
      <w:color w:val="800080"/>
      <w:u w:val="single"/>
    </w:rPr>
  </w:style>
  <w:style w:type="character" w:styleId="CommentReference">
    <w:name w:val="annotation reference"/>
    <w:uiPriority w:val="99"/>
    <w:semiHidden/>
    <w:unhideWhenUsed/>
    <w:rsid w:val="00785C7A"/>
    <w:rPr>
      <w:sz w:val="16"/>
      <w:szCs w:val="16"/>
    </w:rPr>
  </w:style>
  <w:style w:type="paragraph" w:styleId="CommentText">
    <w:name w:val="annotation text"/>
    <w:basedOn w:val="Normal"/>
    <w:link w:val="CommentTextChar"/>
    <w:uiPriority w:val="99"/>
    <w:semiHidden/>
    <w:unhideWhenUsed/>
    <w:rsid w:val="00785C7A"/>
    <w:rPr>
      <w:sz w:val="20"/>
      <w:szCs w:val="20"/>
    </w:rPr>
  </w:style>
  <w:style w:type="character" w:customStyle="1" w:styleId="CommentTextChar">
    <w:name w:val="Comment Text Char"/>
    <w:basedOn w:val="DefaultParagraphFont"/>
    <w:link w:val="CommentText"/>
    <w:uiPriority w:val="99"/>
    <w:semiHidden/>
    <w:rsid w:val="00785C7A"/>
  </w:style>
  <w:style w:type="paragraph" w:styleId="CommentSubject">
    <w:name w:val="annotation subject"/>
    <w:basedOn w:val="CommentText"/>
    <w:next w:val="CommentText"/>
    <w:link w:val="CommentSubjectChar"/>
    <w:uiPriority w:val="99"/>
    <w:semiHidden/>
    <w:unhideWhenUsed/>
    <w:rsid w:val="00785C7A"/>
    <w:rPr>
      <w:b/>
      <w:bCs/>
    </w:rPr>
  </w:style>
  <w:style w:type="character" w:customStyle="1" w:styleId="CommentSubjectChar">
    <w:name w:val="Comment Subject Char"/>
    <w:link w:val="CommentSubject"/>
    <w:uiPriority w:val="99"/>
    <w:semiHidden/>
    <w:rsid w:val="00785C7A"/>
    <w:rPr>
      <w:b/>
      <w:bCs/>
    </w:rPr>
  </w:style>
  <w:style w:type="paragraph" w:styleId="BalloonText">
    <w:name w:val="Balloon Text"/>
    <w:basedOn w:val="Normal"/>
    <w:link w:val="BalloonTextChar"/>
    <w:uiPriority w:val="99"/>
    <w:semiHidden/>
    <w:unhideWhenUsed/>
    <w:rsid w:val="00785C7A"/>
    <w:rPr>
      <w:rFonts w:ascii="Tahoma" w:hAnsi="Tahoma" w:cs="Tahoma"/>
      <w:sz w:val="16"/>
      <w:szCs w:val="16"/>
    </w:rPr>
  </w:style>
  <w:style w:type="character" w:customStyle="1" w:styleId="BalloonTextChar">
    <w:name w:val="Balloon Text Char"/>
    <w:link w:val="BalloonText"/>
    <w:uiPriority w:val="99"/>
    <w:semiHidden/>
    <w:rsid w:val="00785C7A"/>
    <w:rPr>
      <w:rFonts w:ascii="Tahoma" w:hAnsi="Tahoma" w:cs="Tahoma"/>
      <w:sz w:val="16"/>
      <w:szCs w:val="16"/>
    </w:rPr>
  </w:style>
  <w:style w:type="paragraph" w:styleId="Header">
    <w:name w:val="header"/>
    <w:basedOn w:val="Normal"/>
    <w:link w:val="HeaderChar"/>
    <w:uiPriority w:val="99"/>
    <w:unhideWhenUsed/>
    <w:rsid w:val="00B53270"/>
    <w:pPr>
      <w:tabs>
        <w:tab w:val="center" w:pos="4680"/>
        <w:tab w:val="right" w:pos="9360"/>
      </w:tabs>
    </w:pPr>
  </w:style>
  <w:style w:type="character" w:customStyle="1" w:styleId="HeaderChar">
    <w:name w:val="Header Char"/>
    <w:link w:val="Header"/>
    <w:uiPriority w:val="99"/>
    <w:rsid w:val="00B53270"/>
    <w:rPr>
      <w:sz w:val="24"/>
      <w:szCs w:val="24"/>
    </w:rPr>
  </w:style>
  <w:style w:type="paragraph" w:styleId="Footer">
    <w:name w:val="footer"/>
    <w:basedOn w:val="Normal"/>
    <w:link w:val="FooterChar"/>
    <w:uiPriority w:val="99"/>
    <w:unhideWhenUsed/>
    <w:rsid w:val="00B53270"/>
    <w:pPr>
      <w:tabs>
        <w:tab w:val="center" w:pos="4680"/>
        <w:tab w:val="right" w:pos="9360"/>
      </w:tabs>
    </w:pPr>
  </w:style>
  <w:style w:type="character" w:customStyle="1" w:styleId="FooterChar">
    <w:name w:val="Footer Char"/>
    <w:link w:val="Footer"/>
    <w:uiPriority w:val="99"/>
    <w:rsid w:val="00B532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904">
      <w:bodyDiv w:val="1"/>
      <w:marLeft w:val="0"/>
      <w:marRight w:val="0"/>
      <w:marTop w:val="0"/>
      <w:marBottom w:val="0"/>
      <w:divBdr>
        <w:top w:val="none" w:sz="0" w:space="0" w:color="auto"/>
        <w:left w:val="none" w:sz="0" w:space="0" w:color="auto"/>
        <w:bottom w:val="none" w:sz="0" w:space="0" w:color="auto"/>
        <w:right w:val="none" w:sz="0" w:space="0" w:color="auto"/>
      </w:divBdr>
    </w:div>
    <w:div w:id="427505121">
      <w:bodyDiv w:val="1"/>
      <w:marLeft w:val="0"/>
      <w:marRight w:val="0"/>
      <w:marTop w:val="0"/>
      <w:marBottom w:val="0"/>
      <w:divBdr>
        <w:top w:val="none" w:sz="0" w:space="0" w:color="auto"/>
        <w:left w:val="none" w:sz="0" w:space="0" w:color="auto"/>
        <w:bottom w:val="none" w:sz="0" w:space="0" w:color="auto"/>
        <w:right w:val="none" w:sz="0" w:space="0" w:color="auto"/>
      </w:divBdr>
    </w:div>
    <w:div w:id="447312159">
      <w:bodyDiv w:val="1"/>
      <w:marLeft w:val="0"/>
      <w:marRight w:val="0"/>
      <w:marTop w:val="0"/>
      <w:marBottom w:val="0"/>
      <w:divBdr>
        <w:top w:val="none" w:sz="0" w:space="0" w:color="auto"/>
        <w:left w:val="none" w:sz="0" w:space="0" w:color="auto"/>
        <w:bottom w:val="none" w:sz="0" w:space="0" w:color="auto"/>
        <w:right w:val="none" w:sz="0" w:space="0" w:color="auto"/>
      </w:divBdr>
    </w:div>
    <w:div w:id="864513803">
      <w:bodyDiv w:val="1"/>
      <w:marLeft w:val="0"/>
      <w:marRight w:val="0"/>
      <w:marTop w:val="0"/>
      <w:marBottom w:val="0"/>
      <w:divBdr>
        <w:top w:val="none" w:sz="0" w:space="0" w:color="auto"/>
        <w:left w:val="none" w:sz="0" w:space="0" w:color="auto"/>
        <w:bottom w:val="none" w:sz="0" w:space="0" w:color="auto"/>
        <w:right w:val="none" w:sz="0" w:space="0" w:color="auto"/>
      </w:divBdr>
    </w:div>
    <w:div w:id="877746030">
      <w:bodyDiv w:val="1"/>
      <w:marLeft w:val="0"/>
      <w:marRight w:val="0"/>
      <w:marTop w:val="0"/>
      <w:marBottom w:val="0"/>
      <w:divBdr>
        <w:top w:val="none" w:sz="0" w:space="0" w:color="auto"/>
        <w:left w:val="none" w:sz="0" w:space="0" w:color="auto"/>
        <w:bottom w:val="none" w:sz="0" w:space="0" w:color="auto"/>
        <w:right w:val="none" w:sz="0" w:space="0" w:color="auto"/>
      </w:divBdr>
    </w:div>
    <w:div w:id="979529730">
      <w:bodyDiv w:val="1"/>
      <w:marLeft w:val="0"/>
      <w:marRight w:val="0"/>
      <w:marTop w:val="0"/>
      <w:marBottom w:val="0"/>
      <w:divBdr>
        <w:top w:val="none" w:sz="0" w:space="0" w:color="auto"/>
        <w:left w:val="none" w:sz="0" w:space="0" w:color="auto"/>
        <w:bottom w:val="none" w:sz="0" w:space="0" w:color="auto"/>
        <w:right w:val="none" w:sz="0" w:space="0" w:color="auto"/>
      </w:divBdr>
    </w:div>
    <w:div w:id="998193401">
      <w:bodyDiv w:val="1"/>
      <w:marLeft w:val="0"/>
      <w:marRight w:val="0"/>
      <w:marTop w:val="0"/>
      <w:marBottom w:val="0"/>
      <w:divBdr>
        <w:top w:val="none" w:sz="0" w:space="0" w:color="auto"/>
        <w:left w:val="none" w:sz="0" w:space="0" w:color="auto"/>
        <w:bottom w:val="none" w:sz="0" w:space="0" w:color="auto"/>
        <w:right w:val="none" w:sz="0" w:space="0" w:color="auto"/>
      </w:divBdr>
    </w:div>
    <w:div w:id="1440098969">
      <w:bodyDiv w:val="1"/>
      <w:marLeft w:val="0"/>
      <w:marRight w:val="0"/>
      <w:marTop w:val="0"/>
      <w:marBottom w:val="0"/>
      <w:divBdr>
        <w:top w:val="none" w:sz="0" w:space="0" w:color="auto"/>
        <w:left w:val="none" w:sz="0" w:space="0" w:color="auto"/>
        <w:bottom w:val="none" w:sz="0" w:space="0" w:color="auto"/>
        <w:right w:val="none" w:sz="0" w:space="0" w:color="auto"/>
      </w:divBdr>
    </w:div>
    <w:div w:id="1451169883">
      <w:bodyDiv w:val="1"/>
      <w:marLeft w:val="0"/>
      <w:marRight w:val="0"/>
      <w:marTop w:val="0"/>
      <w:marBottom w:val="0"/>
      <w:divBdr>
        <w:top w:val="none" w:sz="0" w:space="0" w:color="auto"/>
        <w:left w:val="none" w:sz="0" w:space="0" w:color="auto"/>
        <w:bottom w:val="none" w:sz="0" w:space="0" w:color="auto"/>
        <w:right w:val="none" w:sz="0" w:space="0" w:color="auto"/>
      </w:divBdr>
    </w:div>
    <w:div w:id="1542936295">
      <w:bodyDiv w:val="1"/>
      <w:marLeft w:val="0"/>
      <w:marRight w:val="0"/>
      <w:marTop w:val="0"/>
      <w:marBottom w:val="0"/>
      <w:divBdr>
        <w:top w:val="none" w:sz="0" w:space="0" w:color="auto"/>
        <w:left w:val="none" w:sz="0" w:space="0" w:color="auto"/>
        <w:bottom w:val="none" w:sz="0" w:space="0" w:color="auto"/>
        <w:right w:val="none" w:sz="0" w:space="0" w:color="auto"/>
      </w:divBdr>
    </w:div>
    <w:div w:id="1575698239">
      <w:bodyDiv w:val="1"/>
      <w:marLeft w:val="0"/>
      <w:marRight w:val="0"/>
      <w:marTop w:val="0"/>
      <w:marBottom w:val="0"/>
      <w:divBdr>
        <w:top w:val="none" w:sz="0" w:space="0" w:color="auto"/>
        <w:left w:val="none" w:sz="0" w:space="0" w:color="auto"/>
        <w:bottom w:val="none" w:sz="0" w:space="0" w:color="auto"/>
        <w:right w:val="none" w:sz="0" w:space="0" w:color="auto"/>
      </w:divBdr>
    </w:div>
    <w:div w:id="1657492263">
      <w:bodyDiv w:val="1"/>
      <w:marLeft w:val="0"/>
      <w:marRight w:val="0"/>
      <w:marTop w:val="0"/>
      <w:marBottom w:val="0"/>
      <w:divBdr>
        <w:top w:val="none" w:sz="0" w:space="0" w:color="auto"/>
        <w:left w:val="none" w:sz="0" w:space="0" w:color="auto"/>
        <w:bottom w:val="none" w:sz="0" w:space="0" w:color="auto"/>
        <w:right w:val="none" w:sz="0" w:space="0" w:color="auto"/>
      </w:divBdr>
    </w:div>
    <w:div w:id="18477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nemaweb.com/access/pre_stmt.htm" TargetMode="External"/><Relationship Id="rId18" Type="http://schemas.openxmlformats.org/officeDocument/2006/relationships/hyperlink" Target="http://www.worldcat.org/title/windward-islands-opinion/oclc/17463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na.uwi.edu/cardin/" TargetMode="External"/><Relationship Id="rId17" Type="http://schemas.openxmlformats.org/officeDocument/2006/relationships/hyperlink" Target="http://www.dloc.com/AA00000504/00002/allvolumes2" TargetMode="External"/><Relationship Id="rId2" Type="http://schemas.openxmlformats.org/officeDocument/2006/relationships/numbering" Target="numbering.xml"/><Relationship Id="rId16" Type="http://schemas.openxmlformats.org/officeDocument/2006/relationships/hyperlink" Target="http://dloc.com/IR000004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a.uwi.edu/cardin/" TargetMode="External"/><Relationship Id="rId5" Type="http://schemas.openxmlformats.org/officeDocument/2006/relationships/settings" Target="settings.xml"/><Relationship Id="rId15" Type="http://schemas.openxmlformats.org/officeDocument/2006/relationships/hyperlink" Target="http://www.diglib.org/forums/spring2008/presentations/Owens.pdf" TargetMode="External"/><Relationship Id="rId10" Type="http://schemas.openxmlformats.org/officeDocument/2006/relationships/hyperlink" Target="http://brtf.sdsc.edu/publications.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loc.com/iace" TargetMode="External"/><Relationship Id="rId14" Type="http://schemas.openxmlformats.org/officeDocument/2006/relationships/hyperlink" Target="http://www.dloc.com/ill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80E9-6F48-4BB3-BD0C-13129074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26897</CharactersWithSpaces>
  <SharedDoc>false</SharedDoc>
  <HLinks>
    <vt:vector size="36" baseType="variant">
      <vt:variant>
        <vt:i4>6422638</vt:i4>
      </vt:variant>
      <vt:variant>
        <vt:i4>15</vt:i4>
      </vt:variant>
      <vt:variant>
        <vt:i4>0</vt:i4>
      </vt:variant>
      <vt:variant>
        <vt:i4>5</vt:i4>
      </vt:variant>
      <vt:variant>
        <vt:lpwstr>http://www.worldcat.org/title/windward-islands-</vt:lpwstr>
      </vt:variant>
      <vt:variant>
        <vt:lpwstr/>
      </vt:variant>
      <vt:variant>
        <vt:i4>7078010</vt:i4>
      </vt:variant>
      <vt:variant>
        <vt:i4>12</vt:i4>
      </vt:variant>
      <vt:variant>
        <vt:i4>0</vt:i4>
      </vt:variant>
      <vt:variant>
        <vt:i4>5</vt:i4>
      </vt:variant>
      <vt:variant>
        <vt:lpwstr>http://www.diglib.org/forums/spring2008/presentations/Owens.pdf</vt:lpwstr>
      </vt:variant>
      <vt:variant>
        <vt:lpwstr/>
      </vt:variant>
      <vt:variant>
        <vt:i4>2490386</vt:i4>
      </vt:variant>
      <vt:variant>
        <vt:i4>9</vt:i4>
      </vt:variant>
      <vt:variant>
        <vt:i4>0</vt:i4>
      </vt:variant>
      <vt:variant>
        <vt:i4>5</vt:i4>
      </vt:variant>
      <vt:variant>
        <vt:lpwstr>http://www.cinemaweb.com/access/pre_stmt.htm</vt:lpwstr>
      </vt:variant>
      <vt:variant>
        <vt:lpwstr/>
      </vt:variant>
      <vt:variant>
        <vt:i4>8323114</vt:i4>
      </vt:variant>
      <vt:variant>
        <vt:i4>6</vt:i4>
      </vt:variant>
      <vt:variant>
        <vt:i4>0</vt:i4>
      </vt:variant>
      <vt:variant>
        <vt:i4>5</vt:i4>
      </vt:variant>
      <vt:variant>
        <vt:lpwstr>http://www.mona.uwi.edu/cardin/</vt:lpwstr>
      </vt:variant>
      <vt:variant>
        <vt:lpwstr/>
      </vt:variant>
      <vt:variant>
        <vt:i4>8323114</vt:i4>
      </vt:variant>
      <vt:variant>
        <vt:i4>3</vt:i4>
      </vt:variant>
      <vt:variant>
        <vt:i4>0</vt:i4>
      </vt:variant>
      <vt:variant>
        <vt:i4>5</vt:i4>
      </vt:variant>
      <vt:variant>
        <vt:lpwstr>http://www.mona.uwi.edu/cardin/</vt:lpwstr>
      </vt:variant>
      <vt:variant>
        <vt:lpwstr/>
      </vt:variant>
      <vt:variant>
        <vt:i4>3080303</vt:i4>
      </vt:variant>
      <vt:variant>
        <vt:i4>0</vt:i4>
      </vt:variant>
      <vt:variant>
        <vt:i4>0</vt:i4>
      </vt:variant>
      <vt:variant>
        <vt:i4>5</vt:i4>
      </vt:variant>
      <vt:variant>
        <vt:lpwstr>http://brtf.sdsc.edu/publications.html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taylor</dc:creator>
  <cp:lastModifiedBy>Laurie N. Taylor</cp:lastModifiedBy>
  <cp:revision>7</cp:revision>
  <dcterms:created xsi:type="dcterms:W3CDTF">2014-04-18T09:19:00Z</dcterms:created>
  <dcterms:modified xsi:type="dcterms:W3CDTF">2014-04-18T09:26:00Z</dcterms:modified>
</cp:coreProperties>
</file>